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1005 vom 18. November 2014</w:t>
      </w:r>
    </w:p>
    <w:p>
      <w:r>
        <w:t>VD Tribunal cantonal, 2014-11-18, FR</w:t>
      </w:r>
    </w:p>
    <w:p>
      <w:r>
        <w:rPr>
          <w:b/>
        </w:rPr>
        <w:t xml:space="preserve">Quelle: </w:t>
      </w:r>
      <w:r>
        <w:t>https://mcp.opencaselaw.ch/entscheid/vd_findinfo_D_cision___2014___1005</w:t>
      </w:r>
    </w:p>
    <w:p>
      <w:r>
        <w:t>FR: VD_FINDINFO Décision / 2014 / 1005 du 18 novembre 2014</w:t>
      </w:r>
    </w:p>
    <w:p>
      <w:r>
        <w:t>IT: VD_FINDINFO Décision / 2014 / 1005 del 18 novembre 2014</w:t>
      </w:r>
    </w:p>
    <w:p>
      <w:pPr>
        <w:pStyle w:val="Heading2"/>
      </w:pPr>
      <w:r>
        <w:t>Regeste</w:t>
      </w:r>
    </w:p>
    <w:p>
      <w:r>
        <w:t>NON-LIEU, ESCROQUERIE, ABUS DE CONFIANCE, ASTUCE | 138 CP, 146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Z.________ soutient que les plaignants n’auraient pas la qualité pour recourir ni celle de plaignants, en raison d’un dépôt de plainte tardif au sens de l’art. 31 CPP (P. 67, p. 2 et 3). Si une infraction n’est punie que sur plainte, toute personne lésée peut porter plainte contre l’auteur (art. 30 al. 1 CP). Le droit de porter plainte se prescrit par trois mois. Le délai court du jour où l’ayant droit a connu l’auteur de l’infraction (art. 31 CP). L’argument de l’intimé est toutefois insoutenable dès lors que les infractions d’escroquerie (art. 146 CP) et d’abus de confiance (art. 138 CP) se poursuivent d’office. B.B.________ et A.B.________ ont déposé plainte et ont la qualité de partie plaignante puisqu’ils sont lésés (art. 118 CPP). Ils ont également la qualité pour recourir, puisqu’ils possèdent un intérêt juridiquement protégé à l’annulation ou à la modification de l’ordonnance de classement entreprise, ceci au sens de l’art. 382 al. 1 CPP. Partant, ce moyen doit être rejeté.</w:t>
      </w:r>
    </w:p>
    <w:p>
      <w:r>
        <w:rPr>
          <w:b/>
        </w:rPr>
        <w:t>E. 1.3</w:t>
      </w:r>
    </w:p>
    <w:p>
      <w:r>
        <w:t>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Le recourant soutient que le procureur aurait, à tort, considéré que les infractions d’abus de confiance et d’escroquerie ne seraient pas réalisées.</w:t>
      </w:r>
    </w:p>
    <w:p>
      <w:r>
        <w:rPr>
          <w:b/>
        </w:rPr>
        <w:t>E. 3.1</w:t>
      </w:r>
    </w:p>
    <w:p>
      <w:r>
        <w:t>De l’abus de confiance</w:t>
      </w:r>
    </w:p>
    <w:p>
      <w:r>
        <w:rPr>
          <w:b/>
        </w:rPr>
        <w:t>E. 3.1.1</w:t>
      </w:r>
    </w:p>
    <w:p>
      <w:r>
        <w:t>Réprimant l’abus de confiance, l’art. 138 CP (Code pénal; RS 311.0)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(ch. 1, première phrase).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(Dupuis/Geller/ Monnier/Moreillon/Piguet/Bettex/Stoll [éd.], Petit commentaire CP, Bâle 2012,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Dupuis et alii, op. cit., n. 12 ad art. 138 CP). Ce que l’auteur reçoit pour lui-même et non en vue de le restituer ou de le transférer à un tiers ne peut être l’objet d’un abus de confiance (Dupuis et alii, op. cit., n. 15 ad art. 138 CP, et les références citées). Le Tribunal fédéral a retenu que des contre-prestations correspondant à la prestation contractuellement promise – il s’agissait dans le cas jugé par le Tribunal fédéral de montants encaissés d’avance pour la vente mensongère de prétendues garanties bancaires – n’impliquent pas en elles-mêmes un devoir de conserver la contre-valeur reçue et ne peuvent être assimilées à des valeurs confiées (Dupuis et alii, op. cit., n. 15 ad art. 138 CP, et les références citées).</w:t>
      </w:r>
    </w:p>
    <w:p>
      <w:r>
        <w:rPr>
          <w:b/>
        </w:rPr>
        <w:t>E. 3.1.2</w:t>
      </w:r>
    </w:p>
    <w:p>
      <w:r>
        <w:t>En l’espèce, le débat porte sur la réalisation ou non de l’élément constitutif objectif de valeurs patrimoniales confiées au sens de l’art. 138 ch. 1 al. 2 CP. Sur la base des accords passés, les recourants ont versé différentes sommes à titre « d’acompte sur l’achat », « facture-acompte 01/acompte honoraires architecte » ou « facture-acompte 01/acompte kit [...]». Cette dernière facture du 24 janvier 2011, de 91'250 fr., payée, était libellée « couronne et connecteurs métal sup/ossature, RT, lames épicéa &amp; mélèze, raidisseurs de châssis, embrasures Velux » (P. 11, annexe 23). Z.________ a admis avoir affecté les 91'250 fr. reçus à l’activité de son entreprise. Il n’a ainsi pas commandé la couronne, mais a payé à la place des factures étrangères aux contrats le liant aux plaignants. Il a agi ainsi à cause de problèmes de liquidités et escomptait pour se rattraper une grande rentrée d’argent de l’ordre de 150'000 fr. pour des chantiers dont il s’occupait, qui ne s’est pas produite (PV aud. n. 1, p. 5 à 7). Dès lors que certains acomptes versés par les recourants ont été encaissés en vue de payer des pièces précises à des tiers déterminés, c’est-à-dire dans une affectation clairement désignée dans l’intérêt des lésés, l’existence d’une infraction, sous la forme d’un abus de confiance, ne peut pas être complètement exclue à ce stade.</w:t>
      </w:r>
    </w:p>
    <w:p>
      <w:r>
        <w:rPr>
          <w:b/>
        </w:rPr>
        <w:t>E. 3.2</w:t>
      </w:r>
    </w:p>
    <w:p>
      <w:r>
        <w:t>De l’escroquerie</w:t>
      </w:r>
    </w:p>
    <w:p>
      <w:r>
        <w:rPr>
          <w:b/>
        </w:rPr>
        <w:t>E. 3.2.1</w:t>
      </w:r>
    </w:p>
    <w:p>
      <w:r>
        <w:t>Réprimant l’escroquerie, l’art. 146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w:t>
      </w:r>
    </w:p>
    <w:p>
      <w:r>
        <w:rPr>
          <w:b/>
        </w:rPr>
        <w:t>E. 3.2.2</w:t>
      </w:r>
    </w:p>
    <w:p>
      <w:r>
        <w:t>En l’espèce, le débat porte d’une part sur la réalisation ou non de l’élément constitutif objectif de la tromperie astucieuse et d’autre part sur l’élément subjectif. Alors que sa situation financière était mauvaise et qu’il en était conscient, Z.________ a conclu de nouveaux contrats et a demandé des acomptes conséquents qu’il a affectés au paiement des factures de son entreprise et non au paiement des frais du chantier des plaignants, comme convenu contractuellement. En agissant de la sorte, Z.________ a omis volontairement certains faits de façon à donner aux recourants une vision tronquée de la réalité. A ce stade, il était difficile, voire impossible pour les recourants de vérifier la capacité d’exécution de leur co-contractant, l’intention de ne pas fournir la prestation convenue n’étant pas décelable au moment du paiement, de sorte qu’une coresponsabilité ne paraît pas pouvoir être retenue. Il s’agit ici d’actes internes que les plaignants ne pouvaient pas connaître. A cela s’ajoute que Z.________ a, de son propre aveu, fourni de faux décomptes (P. 12/22, P. 12/32) pour faire patienter les recourants, tentant ainsi de gagner du temps en espérant que sa situation financière s’assainirait rapidement, ce qui ne s’est finalement pas réalisé (PV aud. 2, p. 6). De tels agissements paraissent réaliser l’exigence de la tromperie astucieuse au sens de l’art. 146 CP. Selon les déclarations mêmes du prévenu, celui-ci était conscient d’utiliser l’argent des plaignants à d’autres fins que celles contractuellement convenues. Il pensait pouvoir rétablir la situation avec le produit d’autres chantiers. Les rentrées d’argent escomptées n’ont cependant jamais eu lieu, aggravant ainsi sa condition (PV aud. n. 1 ; P. 18, p. 5). Cette façon d’agir paraît réaliser l’intention, en tout cas au stade du dol éventuel, qui suffit.</w:t>
      </w:r>
    </w:p>
    <w:p>
      <w:r>
        <w:rPr>
          <w:b/>
        </w:rPr>
        <w:t>E. 4</w:t>
      </w:r>
    </w:p>
    <w:p>
      <w:r>
        <w:t>Eu égard à ce qui précède, Z.________ devra être renvoyé en jugement, en application du principe in dubio pro duriore, à tout le moins pour le cas de B.B.________ et A.B.________, dont le recours doit être admis. S’agissant d’infractions se poursuivant d’office et en application de la maxime de l’instruction (art. 6 CPP) et du principe de la légalité de la procédure pénale (art. 7 CPP; cf. Moreillon/Parein Reymond, Petit Commentaire du Code de procédure pénale, Bâle 2013, n. 3 ad art. 7 CPP), il appartiendra au Procureur de déterminer à la lumière des considérants du présent arrêt si les cas des époux [...], des époux [...] et de [...], qui paraissent présenter de grandes similitudes avec celui de B.B.________ et A.B.________, doivent également faire l’objet d’un renvoi un jugement. Les frais de la procédure de recours, constitués en l’espèce du seul émolument d'arrêt, par 1’210 fr. (art. 20 al. 1 TFIP [Tarif des frais de procédure et indemnités en matière pénale du 28 septembre 2010; RSV 312.03.1]), seront mis à la charge de l’intimé, qui succombe dès lors qu’il a conclu au rejet du recours (art. 428 al. 1 CPP). S’agissant des dépens réclamés par les recourants, il appartiendra le cas échéant à ces derniers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de classement du 6 décembre 2013 est annulée et le dossier de la cause est renvoyé au Ministère public de l'arrondissement l’Est Vaudois pour qu'il procède dans le sens des considérants. III. Les frais d'arrêt, par 1’210 fr. (mille deux cent dix francs), sont mis à la charge de Z.________. IV. Le présent arrêt est exécutoire. Le président :               La greffière : Du L'arrêt qui précède, dont la rédaction a été approuvée à huis clos, est notifié, par l'envoi d'une copie complète, à : - Me Jean-Marie Röthlisberger, avocat (pour B.B.________ et A.B.________), - Me David Parisod, avocat (pour Z.________), - Me Daniel Guignard, avocat (pour [...] et [...]), - Me David Freymond, avocat (pour [...] et [...]), - M.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