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1004 vom 2. September 2014</w:t>
      </w:r>
    </w:p>
    <w:p>
      <w:r>
        <w:t>VD Tribunal cantonal, 2014-09-02, FR</w:t>
      </w:r>
    </w:p>
    <w:p>
      <w:r>
        <w:rPr>
          <w:b/>
        </w:rPr>
        <w:t xml:space="preserve">Quelle: </w:t>
      </w:r>
      <w:r>
        <w:t>https://mcp.opencaselaw.ch/entscheid/vd_findinfo_D_cision___2014___1004</w:t>
      </w:r>
    </w:p>
    <w:p>
      <w:r>
        <w:t>FR: VD_FINDINFO Décision / 2014 / 1004 du 2 septembre 2014</w:t>
      </w:r>
    </w:p>
    <w:p>
      <w:r>
        <w:t>IT: VD_FINDINFO Décision / 2014 / 1004 del 2 settembre 2014</w:t>
      </w:r>
    </w:p>
    <w:p>
      <w:pPr>
        <w:pStyle w:val="Heading2"/>
      </w:pPr>
      <w:r>
        <w:t>Regeste</w:t>
      </w:r>
    </w:p>
    <w:p>
      <w:r>
        <w:t>CLASSEMENT DE LA PROCÉDURE, INFRACTIONS CONTRE LE DOMAINE SECRET | 179quater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2.2</w:t>
      </w:r>
    </w:p>
    <w:p>
      <w:r>
        <w:t>Le classement de la procédure pénale dirigée contre W.________ pour injure n’est pas contesté et pourra donc être confirmé.</w:t>
      </w:r>
    </w:p>
    <w:p>
      <w:r>
        <w:rPr>
          <w:b/>
        </w:rPr>
        <w:t>E. 2.3</w:t>
      </w:r>
    </w:p>
    <w:p>
      <w:r>
        <w:t>L'art. 179 quater CP, qui réprime la violation du domaine secret ou du domaine privé au moyen d’un appareil de prise de vues, prévoit notamment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(al. 1). Relève du domaine secret un fait connu d’un nombre restreint de personnes, qui n’est pas accessible à quiconque souhaite le connaître et que la personne veut garder confidentiel, en ayant pour cela un intérêt légitime (cf. Corboz, Les infractions en droit suisse, vol. I, Berne 2010, n. 6 ad art. 179 quater CP, p. 659, et les références citées). La doctrine cite plusieurs exemples de faits secrets qui peuvent être constatés visuellement : conflits familiaux, comportements sexuels, certaines hypothèses de souffrances corporelles, certains rendez-vous d’affaires, rencontres galantes etc. (Corboz, loc. cit., et les réf. citées). Quant à la seconde hypothèse, elle vise des faits qui ne peuvent être perçus sans autre par chacun et qui relèvent du domaine privé. Cette variante tend surtout à protéger un lieu où les gens se croient à l’abri des regards indiscrets. L’accès à ce lieu doit supposer le franchissement d’une barrière physique ou juridico-morale. Il n’est pas nécessaire que le fait à observer soit à proprement parler secret, il suffit qu’il relève de la sphère personnelle et qu’il ne puisse pas être observé par n’importe qui (Corboz, op. cit., n. 7 ad art. 179 quater CP, pp.659 et 660).</w:t>
      </w:r>
    </w:p>
    <w:p>
      <w:r>
        <w:rPr>
          <w:b/>
        </w:rPr>
        <w:t>E. 2.4</w:t>
      </w:r>
    </w:p>
    <w:p>
      <w:r>
        <w:t>En l’espèce, il est établi que la prévenue a non seulement pris une photo du recourant en train de ranger son tuyau d’arrosage, mais également – comme l’attestent les pièces produites à l’appui du recours, qui sont recevables (CREP 24 juillet 2014/510 c. 1.2, et les références citées) – des photos de son véhicule, prétendument mal garé (cf. P. 15 du bordereau du 21 août 2014, et P. 29). Le comportement consistant à photographier le véhicule automobile en stationnement n’entre pas dans les prévisions de l’art. 179 quater al. 1 CP. De tels clichés ne relèvent ni du domaine secret ni du domaine privé, au sens défini ci-dessus. On ne voit pas en quoi ces faits devraient être soustraits à la connaissance d’autrui. Il en va de même de la photographie où l’on voit le recourant ranger un tuyau d’arrosage. La cour de céans, qui partage l’opinion du Ministère public à cet égard, considère qu’un tel fait ne relève pas de la sphère privée, dès lors qu’il aurait pu être observé par quiconque se serait engagé, éventuellement par erreur, sur le chemin d’où la photo a été prise.</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7 août 2014 est confirmée. III. Les frais d’arrêt, par 550 fr. (cinq cent cinquante francs), sont mis à la charge de F.________. IV. Le présent arrêt est exécutoire. Le président :               Le greffier : Du L'arrêt qui précède, dont la rédaction a été approuvée à huis clos, est notifié, par l'envoi d'une copie complète, à : - M. Marc-Etienne Favre, avocat (pour F.________), - M. Laurent Damond, avocat (pour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