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1002 vom 19. September 2014</w:t>
      </w:r>
    </w:p>
    <w:p>
      <w:r>
        <w:t>VD Tribunal cantonal, 2014-09-19, FR</w:t>
      </w:r>
    </w:p>
    <w:p>
      <w:r>
        <w:rPr>
          <w:b/>
        </w:rPr>
        <w:t xml:space="preserve">Quelle: </w:t>
      </w:r>
      <w:r>
        <w:t>https://mcp.opencaselaw.ch/entscheid/vd_findinfo_D_cision___2014___1002</w:t>
      </w:r>
    </w:p>
    <w:p>
      <w:r>
        <w:t>FR: VD_FINDINFO Décision / 2014 / 1002 du 19 septembre 2014</w:t>
      </w:r>
    </w:p>
    <w:p>
      <w:r>
        <w:t>IT: VD_FINDINFO Décision / 2014 / 1002 del 19 settembre 2014</w:t>
      </w:r>
    </w:p>
    <w:p>
      <w:pPr>
        <w:pStyle w:val="Heading2"/>
      </w:pPr>
      <w:r>
        <w:t>Regeste</w:t>
      </w:r>
    </w:p>
    <w:p>
      <w:r>
        <w:t>OPPOSITION{PROCÉDURE}, MOTIF, PROCÈS-VERBAL, RETRAIT{VOIE DE DROIT} | 386 al. 3 CPP (CH)</w:t>
      </w:r>
    </w:p>
    <w:p>
      <w:pPr>
        <w:pStyle w:val="Heading2"/>
      </w:pPr>
      <w:r>
        <w:t>Erwägungen</w:t>
      </w:r>
    </w:p>
    <w:p>
      <w:r>
        <w:rPr>
          <w:b/>
        </w:rPr>
        <w:t>E. 1.1</w:t>
      </w:r>
    </w:p>
    <w:p>
      <w:r>
        <w:t>Les décisions ou les actes de procédure du Ministère public peuvent être attaqués par la voie du recours auprès de la Chambre des recours pénale du Tribunal cantonal (art. 393 al. 1 let. a CPP [Code de procédure pénale suisse du</w:t>
      </w:r>
    </w:p>
    <w:p>
      <w:r>
        <w:rPr>
          <w:b/>
        </w:rPr>
        <w:t>E. 1.2</w:t>
      </w:r>
    </w:p>
    <w:p>
      <w:r>
        <w:t>Déposé en temps utile par X.________, qui a qualité pour recourir (art. 382 al. 1 CPP) et dans les formes prescrites (art. 385 al. 1 CPP), le recours est recevable. 2. 2.1 Selon l'art. 354 al. 1 let. a CPP, le prévenu peut former opposition contre l’ordonnance pénale (art. 352 ss CPP) devant le ministère public, par écrit et dans les dix jours. Tant que le ministère public n'a pas rendu de nouvelle décision selon l'art. 355 al. 3 CPP, l'opposition peut être retirée devant le ministère public (cf. l'art. 356 al. 3 CPP, pour les cas où le dossier a été transmis au tribunal de première instance selon l'art. 356 al. 1 CPP). 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(Gilliéron/Killias, in: Kuhn/Jeanneret [éd.], Code de procédure pénale suisse, Commentaire romand, Bâle 2011, n. 13 ad art. 356 CPP, p. 1589). 2.2 En l’espèce, il ressort des pièces du dossier qu’à l’audience du 14 août 2014, X.________ a signé, d’une part, le formulaire l’informant de ses droits (annexe au PV aud. 1), et, d’autre part, après relecture (cf. PV aud. 1 ligne 97), le procès-verbal d’audition qui mentionne clairement et sans interprétation possible que le prévenu souhaite retirer son opposition (PV aud. 1, ligne 96). Le procès-verbal satisfait aux exigences de l’art. 78 CPP. Le fait que le prévenu n’ait pas reçu copie de ce procès-verbal n’est pas susceptible d’influer sur la validité du retrait d’opposition qu’il contient. Enfin, aucun élément ne permet de conclure que la phrase de la ligne 96 du procès-verbal – qui indique que le prévenu souhaite retirer son opposition – aurait été modifiée après coup. Partant, dans la mesure où X.________ n'a pas été induit à retirer son opposition par une tromperie, une infraction ou une information inexacte de l'autorité, c’est à juste titre que le Procureur a constaté que l’opposition avait bien été retirée et que ce retrait était définitif. 3. 3.1 Il résulte de ce qui précède que le recours doit être rejeté, sans autre échange d’écritures (art. 390 al. 2 CPP). 3.2 La requête d'assistance judiciaire gratuite doit être rejetée dès lors que le CPP ne prévoit une telle assistance que pour la partie plaignante (art. 136 ss CPP) et que les conditions d’une défense d’office (art. 132 CPP) ne sont au surplus manifestement pas réunies. 3.3 Les frais de la procédure de recours, constitués en l’espèce du seul émolument d'arrêt, par 550 fr. (art. 20 al. 1 TFJP [tarif des frais de procédure et indemnités en matière pénale du 28 septembre 2010; RSV 312.03.1]), seront mis à la charge du recourant, qui succombe (art. 428 al. 1 CPP). Par ces motifs, la Chambre des recours pénale prononce : I. Le recours est rejeté. II. L'ordonnance du 8 septembre 2014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2007; RS 312.0]).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 2 ad art. 355 CPP; CREP 29 août 2014/625; CREP 2 mai 2012/257).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