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997 vom 25. November 2013</w:t>
      </w:r>
    </w:p>
    <w:p>
      <w:r>
        <w:t>VD Tribunal cantonal, 2013-11-25, FR</w:t>
      </w:r>
    </w:p>
    <w:p>
      <w:r>
        <w:rPr>
          <w:b/>
        </w:rPr>
        <w:t xml:space="preserve">Quelle: </w:t>
      </w:r>
      <w:r>
        <w:t>https://mcp.opencaselaw.ch/entscheid/vd_findinfo_D_cision___2013___997</w:t>
      </w:r>
    </w:p>
    <w:p>
      <w:r>
        <w:t>FR: VD_FINDINFO Décision / 2013 / 997 du 25 novembre 2013</w:t>
      </w:r>
    </w:p>
    <w:p>
      <w:r>
        <w:t>IT: VD_FINDINFO Décision / 2013 / 997 del 25 novembre 2013</w:t>
      </w:r>
    </w:p>
    <w:p>
      <w:pPr>
        <w:pStyle w:val="Heading2"/>
      </w:pPr>
      <w:r>
        <w:t>Regeste</w:t>
      </w:r>
    </w:p>
    <w:p>
      <w:r>
        <w:t>LÉSION CORPORELLE PAR NÉGLIGENCE, CLASSEMENT DE LA PROCÉDURE, INONDATION | 125 CP, 229 CP, 319 CPP (CH), 393 al. 1 let. a CPP (CH)</w:t>
      </w:r>
    </w:p>
    <w:p>
      <w:pPr>
        <w:pStyle w:val="Heading2"/>
      </w:pPr>
      <w:r>
        <w:t>Erwägungen</w:t>
      </w:r>
    </w:p>
    <w:p>
      <w:r>
        <w:rPr>
          <w:b/>
        </w:rPr>
        <w:t>E. 1</w:t>
      </w:r>
    </w:p>
    <w:p>
      <w:r>
        <w:t>Le recours a été interjeté dans le délai légal (art. 322 al. 2 et 396 al. 1 CPP [Code de procédure pénale suisse du 5 octobre 2007; RS 312.0]) et selon les formes prescrites (art. 385 al. 1 CPP) contre une ordonnance de classement du Ministère public (cf. art. 319 ss CPP) par la partie plaignante qui a qualité pour recourir (art. 322 al. 2 et 382 al. 1 CPP). Il est donc recevable.</w:t>
      </w:r>
    </w:p>
    <w:p>
      <w:r>
        <w:rPr>
          <w:b/>
        </w:rPr>
        <w:t>E. 2</w:t>
      </w:r>
    </w:p>
    <w:p>
      <w:r>
        <w:t>A titre préalable, on relèvera que pour les motifs retenus par le procureur et développés dans la partie « En fait » ci-dessus sous lettre B, toute infraction intentionnelle est exclue en l’espèce. Entrent ainsi en ligne de compte uniquement les infractions qui peuvent être commises par négligence. Sont ainsi envisageables dans le cas particulier les infractions de lésions corporelles simples par négligence au sens de l’art. 125 CP, d’inondation par négligence au sens de l’art. 227 ch. 1 al. 1 et ch. 2 CP et de violation par négligence des règles de l’art de construire au sens de l’art. 229 al. 2 CP. On peut d’emblée écarter l’application de l’art. 227 CP, dès lors que l’inondation de la cave de la recourante n’est pas visée par cette disposition. En effet, l’inondation au sens de l’art. 227 CP doit être d’une telle importance qu’elle n’est plus maîtrisable. Il faut que l’eau se répande en grande quantité sur une surface importante. A titre d’exemple, on peut mentionner l’inondation qui résulterait de l’ouverture d’un barrage ou d’une écluse ou qui résulterait du détournement d’un ruisseau (Dupuis/Geller/Monnier/Moreillon/Piguet/Bettex/Stoll (éd.), Petit commentaire du Code pénal, Bâle 2012, nn. 2, 5 et 7 ad art. 227 CP et les réf. cit.). L’inondation du sous-sol de la propriété de la recourante n’est dès lors pas suffisamment importante pour entrer dans le champ d’application de l’art. 227 CP. Il reste donc à examiner si les art. 125 ou 229 al. 2 CP sont applicables en l’espèce.</w:t>
      </w:r>
    </w:p>
    <w:p>
      <w:r>
        <w:rPr>
          <w:b/>
        </w:rPr>
        <w:t>E. 3</w:t>
      </w:r>
    </w:p>
    <w:p>
      <w:r>
        <w:t>a) En vertu de l’art. 125 al. 1 CP, celui qui, par négligence, aura fait subir à une personne une atteinte à l’intégrité corporelle ou à la santé sera, sur plainte, puni d’une peine privative de liberté de trois ans au plus ou d’une peine pécuniaire. L’infraction de lésions corporelles simples par négligence, prévue par l'art. 125 al. 1 CP, consiste dans le fait de causer à autrui, par négligence, des lésions corporelles au sens de l'art. 123 CP. Elle est réalisée lorsque trois éléments sont réunis: une négligence commise par l'auteur, une lésion corporelle simple subie par la victime et un lien de causalité naturelle et adéquate entre la négligence et la lésion (Dupuis et alii, op. cit., n. 2 ad art. 125 CP).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 2a et l’arrêt cité). b) En l’espèce, il est impossible d’affirmer que la négligence de la commune, qui semble être la cause des inondations, ait entraîné les lésions corporelles de la recourante, respectivement soit à l’origine des problèmes d’asthme de cette dernière. Comme l’a retenu à juste titre le procureur, ce fait n’est pas établi. La recourante elle-même reconnaît, en page 6 de son recours, que « on a peu près une idée de ce qu’on cherche des lésions que ça a provoqué dans quel contexte les chercher mais on ne sait pas si c’est une ou plusieurs si il y a des réactions chimiques ce qu’on sait c’est qu’on n’a pas l’habitude de voir ce genre de chose [sic] ». Or, une simple hypothèse ou une idée approximative n’est pas suffisante pour admettre un lien de causalité entre les inondations et l’asthme de la recourante. Dans son rapport du 1 er novembre 2012, le Dr P.________ parvient à la conclusion que la forte irritation des voies respiratoires de T.________ est une conséquence de l’exposition de cette dernière aux émanations dues aux reflux des eaux d’épuration dans sa cave. Toutefois, l’hypothèse d’une intoxication n’a pas été prouvée scientifiquement. En effet, selon le rapport du Centre de Recherche et d’Application sur les Oligo-éléments du 9 novembre 2012 et son rapport d’analyse du 16 novembre 2012, toutes les valeurs concernant les éléments toxiques se trouvent dans les valeurs normales, bien que certaines se trouvent à la limite supérieure de la norme, en particulier le mercure. S’agissant de cette valeur limite, le rapport de l’Universitätsspital Basel du 25 août 2012 indique que les conditions d’une intoxication au mercure ne sont pas réunies en l’espèce. Dans son rapport du 8 juin 2012, le Dr S.________, pneumologue FMH, relève que l’intéressée a présenté des difficultés respiratoires après une inondation de sa maison. Cette anamnèse repose cependant uniquement sur les dires de la recourante. Le médecin relève en outre qu’au niveau allergique, un bilan aurait montré une allergie aux poils de chat et de chevaux, animaux que la recourante possède. Enfin, il ressort de ce rapport que T.________ présentait déjà une notion d’asthme dans son enfance. Au vu de ce qui précède et sur la base de l’ensemble des éléments au dossier, le lien de causalité entre les inondations et l’asthme de la recourante n’a pas pu être établi à satisfaction de droit. Un des éléments constitutifs de l’infraction de lésions corporelles par négligence au sens de l’art. 125 CP n’étant pas réalisé, cette disposition ne trouve pas application en l’espèce.</w:t>
      </w:r>
    </w:p>
    <w:p>
      <w:r>
        <w:rPr>
          <w:b/>
        </w:rPr>
        <w:t>E. 4</w:t>
      </w:r>
    </w:p>
    <w:p>
      <w:r>
        <w:t>a) Selon l’art. 229 CP,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 Les éléments constitutifs objectifs de cette infraction sont les suivants: l’infraction doit avoir eu lieu dans le cadre de la direction ou de l’exécution d’une construction ou d’une démolition, et il doit y avoir eu une violation de règles de l’art, une mise en danger de la vie ou de l’intégrité des personnes, ainsi qu’un lien de causalité entre le comportement de l’auteur et la mise en danger (Dupuis et alii, op. cit., n. 3 ad art. 229 CP). S’agissant plus particulièrement de la mise en danger de la vie ou de l’intégrité corporelle, celle-ci doit être concrète. Ainsi, la simple possibilité abstraite d’une atteinte ne suffit pas. Il faut que cette atteinte apparaisse à tout le moins vraisemblable dans le cas concret (cf. ATF 125 IV 64 c. 1a). b) Or, en l’espèce, une inondation, même d’eaux usées, dans le sous-sol d’une maison n’est pas propre en soi à mettre en danger l’intégrité corporelle de personnes. A cela s’ajoute qu’à l’époque des faits, la recourante n’habitait pas dans la propriété, puisqu’elle n’a obtenu le permis d’habitation que le 17 août 2010. Dans ces conditions, l’élément constitutif de mise en danger de l’intégrité corporelle n’est pas réalisé, de sorte que l’art. 229 CP n’est pas applicable.</w:t>
      </w:r>
    </w:p>
    <w:p>
      <w:r>
        <w:rPr>
          <w:b/>
        </w:rPr>
        <w:t>E. 5</w:t>
      </w:r>
    </w:p>
    <w:p>
      <w:r>
        <w:t>Au vu de l’ensemble des considérations qui précèdent, la décision du procureur de classer la procédure échappe à la critique, le litige apparaissant de nature purement civile. Par ailleurs, aucune mesure d’instruction supplémentaire ne permettrait d’aboutir à une appréciation différente.</w:t>
      </w:r>
    </w:p>
    <w:p>
      <w:r>
        <w:rPr>
          <w:b/>
        </w:rPr>
        <w:t>E. 6</w:t>
      </w:r>
    </w:p>
    <w:p>
      <w:r>
        <w:t>En définitive, le recours, manifestement mal fondé, doit être rejeté sans autres échanges d’écritures (art. 390 al. 2 CPP). Les frais de la procédure de recours, constitués en l’espèce du seul émolument d'arrêt (art. 422 al. 1 CPP), par 770 fr. (art. 20 al. 1 TFJP [tarif des frais judiciaires pénaux; RSV 312.03.1]), seront mis à la charge de la recourante, qui succombe (art. 428 al. 1 CPP). Le montant de 440 fr. déjà versé par la recourante à titre de sûretés sera imputé sur les frais mis à sa charge (art. 7 TFJP). Par ces motifs, la Chambre des recours pénale, statuant à huis clos, prononce : I. Le recours est rejeté. II. L’ordonnance du 26 juin 2013 est confirmée. III. Les frais d’arrêt, par 770 fr. (sept cent septante francs), sont mis à la charge de T.________. IV. Le montant de 440 fr. (quatre cent quarante francs) déjà versé par la recourante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Mme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