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987 vom 2. Dezember 2013</w:t>
      </w:r>
    </w:p>
    <w:p>
      <w:r>
        <w:t>VD Tribunal cantonal, 2013-12-02, FR</w:t>
      </w:r>
    </w:p>
    <w:p>
      <w:r>
        <w:rPr>
          <w:b/>
        </w:rPr>
        <w:t xml:space="preserve">Quelle: </w:t>
      </w:r>
      <w:r>
        <w:t>https://mcp.opencaselaw.ch/entscheid/vd_findinfo_D_cision___2013___987</w:t>
      </w:r>
    </w:p>
    <w:p>
      <w:r>
        <w:t>FR: VD_FINDINFO Décision / 2013 / 987 du 2 décembre 2013</w:t>
      </w:r>
    </w:p>
    <w:p>
      <w:r>
        <w:t>IT: VD_FINDINFO Décision / 2013 / 987 del 2 dicembre 2013</w:t>
      </w:r>
    </w:p>
    <w:p>
      <w:pPr>
        <w:pStyle w:val="Heading2"/>
      </w:pPr>
      <w:r>
        <w:t>Regeste</w:t>
      </w:r>
    </w:p>
    <w:p>
      <w:r>
        <w:t>DÉTENTION PRÉVENTIVE, RISQUE DE RÉCIDIVE | 221 al. 1 let. c CPP (CH), 228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3</w:t>
      </w:r>
    </w:p>
    <w:p>
      <w:r>
        <w:t>L’ordonnance attaquée se fonde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b) En l’occurrence, entre le 23 juillet 2008 et le 24 janvier 2012, le recourant a été condamné à six reprises, à des peines variant entre dix jours-amende et trente jours de peine privative de liberté, notamment pour infraction à la loi sur la circulation routière et infractioncontre la LArm. Le nombre de condamnations révèle déjà une certaine intensité dans l'activité répréhensible et témoigne de la facilité de l'intéressé à vivre en marge de la loi. Il faut en outre constater que malgré ces condamnations, le recourant s’est adonné dès 2011 à un trafic de stupéfiants, dont l’enquête a permis de révéler qu’il lui a à tout le moins permis de réaliser un chiffre d’affaires de l’ordre de 100'000 à 150'000 francs. Il n’a donc tiré aucune leçon de ses antécédents. Bien au contraire, il n’a pas hésité à mettre en danger la santé, tant physique que psychique, de nombreuses personnes, eu égard à la quantité de drogue que l'intéressé a admis avoir acquise et revendue, uniquement par appât du gain facile. Le recourant a ainsi manifesté le peu d’égards qu’il avait pour la santé et l’intégrité physique de tiers, ainsi que son incapacité à respecter la loi. Enfin, l’argument du recourant relatif à la reprise de son activité lucrative, en qualité d’employé, au sein de la société dont il est associé-gérant, n’est pas pertinent. En effet, comme le relève le Tribunal des mesures de contrainte, aucun élément au dossier ne laisse supposer que l’intéressé disposerait, en cas de libération, d’une situation lui permettant d’assurer son entretien et celui de sa famille, avec qui il ne semble pas entretenir des liens particulièrement étroits, si l’on se réfère aux déclarations de sa compagne. Quoi qu’il en soit, on ne peut que constater que ni la naissance de sa fille en 2012 ni le fait d’avoir gagné quelque argent légalement ne l’ont empêché de s’adonner à un trafic de stupéfiants d’une ampleur importante. Les mesures d’instruction requises ne sont donc pas pertinentes et doivent être rejetées. Au vu de ce qui précède, le risque de récidive est sérieux et concret et aucune mesure de substitution n’est à même de le prévenir.</w:t>
      </w:r>
    </w:p>
    <w:p>
      <w:r>
        <w:rPr>
          <w:b/>
        </w:rPr>
        <w:t>E. 4</w:t>
      </w:r>
    </w:p>
    <w:p>
      <w:r>
        <w:t>Pour le surplus, le principe de la proportionnalité est respecté, compte tenu de la gravité des actes imputés au recourant et de la durée de la détention provisoire subie (ATF 133 I 168 c. 4.1; ATF 132 I 21 c. 4.1; TF 1B_411/2011 du 31 août 2011 c. 4.1). Prévenu notamment d'infraction grave à la LStup, le recourant, qui est détenu depuis environ six mois, encourt une peine privative de liberté d'un an au moins (art. 19 al. 2 LStup).</w:t>
      </w:r>
    </w:p>
    <w:p>
      <w:r>
        <w:rPr>
          <w:b/>
        </w:rPr>
        <w:t>E. 5</w:t>
      </w:r>
    </w:p>
    <w:p>
      <w:r>
        <w:t>En définitive, le recours, manifestement mal fondé, doit être rejeté sans autre échange d’écritures (art. 390 al. 2 CPP) et l'ordonnance confirmée. Les frais de la procédure de recours, constitués en l’espèce de l'émolument d'arrêt (art. 422 al. 1 CPP), par 660 fr. (art. 20 al. 1 TFJP [tarif des frais judiciaires pénaux; RSV 312.03.1]), et des frais imputables à la défense d’office (art. 422 al. 1 et 2 let. a CPP), fixés à 540 fr. plus la TVA, par 43 fr. 20 fr.,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août 2013 est confirmée. III. L’indemnité allouée au défenseur d’office d’F.________ est fixée à 583 fr. 20 (cinq cent huitante-trois francs et vingt centimes). IV. Les frais du présent arrêt, par 660 fr. (six cent soixante francs), ainsi que l’indemnité due au défenseur d’office d’F.________ par 583 fr. 20 (cinq cent huitante-trois francs et vingt centimes), sont mis à la charge de ce dernier. V. Le remboursement à l’Etat de l’indemnité allouée au chiffre III ci-dessus sera exigible pour autant que la situation économique d’F.________ se soit améliorée. VI. Le présent arrêt est exécutoire. Le président :               La greffière : Du L'arrêt qui précède, dont la rédaction a été approuvée à huis clos, est notifié, par l'envoi d'une copie complète, à : - Me Raphaël Brochellaz, avocat, (pour F.________), - Ministère public central, et communiqué à : - M. le Procureur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