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983 vom 29. November 2013</w:t>
      </w:r>
    </w:p>
    <w:p>
      <w:r>
        <w:t>VD Tribunal cantonal, 2013-11-29, FR</w:t>
      </w:r>
    </w:p>
    <w:p>
      <w:r>
        <w:rPr>
          <w:b/>
        </w:rPr>
        <w:t xml:space="preserve">Quelle: </w:t>
      </w:r>
      <w:r>
        <w:t>https://mcp.opencaselaw.ch/entscheid/vd_findinfo_D_cision___2013___983</w:t>
      </w:r>
    </w:p>
    <w:p>
      <w:r>
        <w:t>FR: VD_FINDINFO Décision / 2013 / 983 du 29 novembre 2013</w:t>
      </w:r>
    </w:p>
    <w:p>
      <w:r>
        <w:t>IT: VD_FINDINFO Décision / 2013 / 983 del 29 novembre 2013</w:t>
      </w:r>
    </w:p>
    <w:p>
      <w:pPr>
        <w:pStyle w:val="Heading2"/>
      </w:pPr>
      <w:r>
        <w:t>Regeste</w:t>
      </w:r>
    </w:p>
    <w:p>
      <w:r>
        <w:t>DÉTENTION PRÉVENTIVE, RISQUE DE RÉCIDIVE, RISQUE DE COLLUSION, PROPORTIONNALITÉ | 221 al. 1 let. b CPP (CH), 221 al. 1 let. c CPP (CH), 227 CPP (CH)</w:t>
      </w:r>
    </w:p>
    <w:p>
      <w:pPr>
        <w:pStyle w:val="Heading2"/>
      </w:pPr>
      <w:r>
        <w:t>Volltext</w:t>
      </w:r>
    </w:p>
    <w:p>
      <w:r>
        <w:t>Vaud Tribunal cantonal Chambre des recours pénale 29.11.2013 Décision / 2013 / 983</w:t>
      </w:r>
    </w:p>
    <w:p>
      <w:r>
        <w:t>DÉTENTION PRÉVENTIVE, RISQUE DE RÉCIDIVE, RISQUE DE COLLUSION, PROPORTIONNALITÉ | 221 al. 1 let. b CPP (CH), 221 al. 1 let. c CPP (CH), 227 CPP (CH)</w:t>
      </w:r>
    </w:p>
    <w:p>
      <w:r>
        <w:t>TRIBUNAL CANTONAL 683 PE13.016039-CPB CHAMBRE DES RECOURS PENALE __________________________________________ Séance du 29 novembre 2013 __________________ Présidence de               M. Krieger , président Juges :              MM. Meylan et Abrecht Greffière :              Mme Cattin ***** Art. 221 al. 1, 227, 393 al. 1 let. c CPP La Chambre des recours pénale prend séance à huis clos pour statuer sur le recours interjeté par Q.________ contre l’ordonnance de prolongation de la détention provisoire rendue le 22 novembre 2013 par le Tribunal des mesures de contrainte dans la cause n° PE13.016039-CPB . Elle considère : E n  f a i t : A. a) Le 15 août 2013, le Ministère public de l’arrondissement de Lausanne a ouvert une instruction pénale contre Q.________ pour infraction à la LArm (Loi fédérale sur les armes du 20 juin 1997; RS 514.54), infraction grave et contravention à la LStup (Loi fédérale sur les stupéfiants; RS 812.121). Le prévenu est mis en cause pour s’être livré, depuis 2010, à un important trafic de marijuana et à la vente de boutures de chanvres destinées à la production de stupéfiants depuis son magasin, le N.________, sis à [...]. Il s’adonnerait à ce trafic avec J.________, qui travaille comme vendeur dans son magasin. b) Le prévenu a été appréhendé par la police le 2 octobre 2013. B. a) Par ordonnance du 4 octobre 2013, le Tribunal des mesures de contrainte a ordonné la détention provisoire de Q.________ pour une durée maximale de deux mois, soit au plus tard jusqu’au 2 décembre 2013. b) Par ordonnance du 22 octobre 2013, le Tribunal des mesures de contrainte a rejeté la demande de libération de la détention provisoire présentée le 14 octobre 2013 par Q.________. c) Par ordonnance du 22 novembre 2013, le Tribunal des mesures de contrainte a ordonné la prolongation de la détention provisoire de Q.________ pour une durée maximale de trois mois, soit au plus tard jusqu’au 2 mars 2014. C. Par acte du 25 novembre 2013, Q.________ a recouru auprès de la Chambre des recours pénale contre cette ordonnance en concluant, avec suite de frais et dépens, à son annulation en ce sens que sa libération de la détention provisoire soit ordonnée. Il n’a pas été ordonné d’échanges d’écritures. E n  d r o i t : 1.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 2. Le recourant conteste l’existence de soupçons suffisants à son encontre.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b) En l’espèce, le recourant a admis vendre des boutures et des graines de chanvre, mais a contesté être mêlé au trafic de stupéfiants auquel se serait livré J.________ dans son magasin. Or, les perquisitions effectuées le 1 er octobre 2013 au magasin N.________, chez J.________ et chez le recourant ont notamment permis de découvrir plus de quatre kilos de marijuana, plusieurs dizaines de milliers de francs en liquide et quelques plants de boutures. Deux sprays CS, que le recourant avait acheté en 2012 à [...], ont également été retrouvés et saisis à son domicile. En outre, les analyses effectuées sur des boutures et des plants de chanvre par l’Institut de police scientifique ont permis d’établir que leur taux de THC était au-dessus de la valeur de 0.1%, à partir de laquelle le cannabis est une substance soumise à des contrôles selon l’ordonnance du Département fédéral de l’intérieure sur les tableaux de stupéfiants, des substances psychotropes, des précurseurs et des adjuvants chimiques du 30 mai 2011 (RS 812.121.11). Au vu de ces éléments, il existe en l’état des présomptions suffisamment sérieuses de culpabilité à l’encontre du recourant. 3. L’ordonnance attaquée se fonde sur le risque de récidive (art. 221 al. 1 let. c CPP).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l'occurrence, bien que le casier judiciaire de Q.________ soit vierge, celui-ci a été condamné le 19 avril 2002 par le Tribunal correctionnel de l’arrondissement de Lausanne pour infraction grave à la LSup notamment à 15 mois d’emprisonnement, sous déduction de 148 jours de détention préventive, avec sursis pendant trois ans. Il a en outre été condamné le 8 août 2002 pour contravention à la LStup. Malgré ces condamnations, le recourant n’a pas hésité à s’adonner dès 2010 à un trafic de stupéfiants, dont l’enquête a révélé qu’il lui a à tout le moins permis de réaliser, avec son comparse, un chiffre d’affaires de plus de 13'900 francs. Le recourant consomme par ailleurs lui-même de la marijuana. Au vu de la durée du trafic, du chiffre d’affaires important et de la consommation par Q.________ de stupéfiants, le risque de réitération est réalisé. 4. L’ordonnance attaquée retient également un risque de collusion (art. 221 al. 1 let. b CPP). a) 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 14 et 15 ad art. 221 CPP ; cf. ATF 137 IV 122 c. 6.2 et 6.4) – vise à garantir la constatation exacte et complète des faits. b) En l’espèce, la Procureure a indiqué dans sa demande de prolongation de la détention provisoire que plusieurs investigations étaient en cours, en particulier des analyses d’empreintes digitales et ADN sur les sacs de haschisch retrouvés chez le recourant, et qu’une nouvelle audition de ce dernier devait avoir lieu fin novembre afin qu’il renseigne les autorités sur l’identité de ses fournisseurs en vue de les interpeller et de les entendre. Ainsi, des investigations supplémentaires apparaissent nécessaires pour déterminer l'étendue de l'activité délictueuse du prévenu et l'on peut craindre que celui-ci ne prenne certaines mesures de nature à entraver la manifestation de la vérité s'il était remis en liberté. Le risque de collusion est dès lors concret. 5. Le recourant invoque une violation du principe de proportionnalité. a)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Q.________ est détenu depuis le 2 octobre 2013, soit depuis deux mois. Il est notamment mis en cause pour avoir agi comme membre d'une bande formée pour se livrer de manière systématique au trafic illicite de stupéfiant (art. 19 al. 2 let. b LStup), passible d’une peine privative de liberté d’un an au moins. Compte tenu de la gravité des actes qui lui sont reprochés, il est exposé au prononcé d’une peine privative de liberté supérieure à la durée de la détention subie. Par conséquent, le principe de proportionnalité de la détention provisoire demeure respecté. 6. Il résulte de ce qui précède que le recours, manifestement mal fondé, doit être rejeté sans autres échanges d’écritures (art. 390 al. 2 CPP)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d’Q.________, qui succombe (art. 428 al. 1 CPP). Le remboursement à l’Etat de l’indemnité allouée au défenseur d’office de Q.________ ne sera toutefois exigible que pour autant que la situation économique de ce dernier se soit améliorée (art. 135 al. 4 CPP). Par ces motifs, la Chambre des recours pénale, statuant à huis clos, prononce : I. Le recours est rejeté. II. L’ordonnance du 22 novembre 2013 est confirmée. III. L’indemnité allouée au défenseur d'office de Q.________ est fixée à 583 fr. 20 (cinq cent huitante-trois francs et vingt centimes). IV. Les frais du présent arrêt, par 770 fr. (sept cent septante francs), ainsi que l’indemnité due au défenseur d’office de Q.________, par 583 fr. 20 (cinq cent huitante-trois francs et vingt centimes), sont mis à la charge de ce dernier. V. Le remboursement à l'Etat de l'indemnité allouée au chiffre III ci-dessus ne sera exigible que pour autant que la situation économique de Q.________ se soit améliorée. VI. Le présent arrêt est exécutoire. Le président :               La greffière : Du L'arrêt qui précède, dont la rédaction a été approuvée à huis clos, est notifié, par l'envoi d'une copie complète, à : - M. Jean Lob, avocat (pour Q.________),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