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970 vom 25. November 2013</w:t>
      </w:r>
    </w:p>
    <w:p>
      <w:r>
        <w:t>VD Tribunal cantonal, 2013-11-25, FR</w:t>
      </w:r>
    </w:p>
    <w:p>
      <w:r>
        <w:rPr>
          <w:b/>
        </w:rPr>
        <w:t xml:space="preserve">Quelle: </w:t>
      </w:r>
      <w:r>
        <w:t>https://mcp.opencaselaw.ch/entscheid/vd_findinfo_D_cision___2013___970</w:t>
      </w:r>
    </w:p>
    <w:p>
      <w:r>
        <w:t>FR: VD_FINDINFO Décision / 2013 / 970 du 25 novembre 2013</w:t>
      </w:r>
    </w:p>
    <w:p>
      <w:r>
        <w:t>IT: VD_FINDINFO Décision / 2013 / 970 del 25 novembre 2013</w:t>
      </w:r>
    </w:p>
    <w:p>
      <w:pPr>
        <w:pStyle w:val="Heading2"/>
      </w:pPr>
      <w:r>
        <w:t>Regeste</w:t>
      </w:r>
    </w:p>
    <w:p>
      <w:r>
        <w:t>RISQUE DE RÉCIDIVE, DÉTENTION PRÉVENTIVE, RÉGIME DE LA DÉTENTION | 221 al. 1 let. c CPP (CH), 393 al. 1 let. c CPP (CH)</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c) En l’espèce, le recourant ne conteste à juste titre pas l’existence de présomptions suffisantes de culpabilité à son encontre. Il a d’ailleurs admis la quasi-totalité des faits qui lui sont reprochés (PV aud. du 31 octobre 2013, p. 2, lignes 32ss). Un certificat médical atteste des lésions subies par la plaignante (P. 6). Des séquences de vidéo surveillance datant du 17 octobre 2013 attestent également du comportement du prévenu qui a en outre été formellement identifié par P.________.</w:t>
      </w:r>
    </w:p>
    <w:p>
      <w:r>
        <w:rPr>
          <w:b/>
        </w:rPr>
        <w:t>E. 3</w:t>
      </w:r>
    </w:p>
    <w:p>
      <w:r>
        <w:t>a) Le recourant conteste l’existence d’un risque de réitération. b)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Autant que possible, l'autorité doit tenter de substituer à la détention toute autre mesure moins incisive propre à atteindre le même résultat (ATF 133 I 270 c. 2.2 p. 276; ATF 123 I 268 c. 2c in fine et 2e et les arrêts cités).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c) En l’espèce, le prévenu n’a cessé de commettre des infractions durant les neuf dernières années. Son casier judiciaire indique qu’il a été condamné à huit reprises depuis 2004, pour des actes de violences et d’atteinte à la propriété. En 2008, il a notamment été condamné pour acte d’ordre sexuel avec un enfant et violence ou menace contre les autorités et les fonctionnaires. Il ressort également du dossier que L.________ est dans une situation personnelle précaire, sans logement stable. Il explique qu’il bénéficie de l’aide sociale par le biais du SPAS, qu’il est sans emploi et qu’il loge chez sa petite amie ou chez ses parents (PV aud. du 31 octobre 2013, p. 3, lignes 69 à 73). Il admet en outre consommer régulièrement des produits stupéfiants sous la forme de marijuana. A cela s’ajoute le mode opératoire inquiétant de L.________, qui va justifier la mise en œuvre d’une expertise psychiatrique (PV des opérations du 7 novembre 2013, p. 5). L’intéressé a agi sous le coup d’une grande impulsivité et son potentiel de violence n’est pas négligeable. Les lésions subies par P.________ en témoignent. Les actes en cause sont d’une gravité certaine et ne sauraient être sous-estimés. Ils mettent sérieusement en danger et de manière importante la sécurité d’autrui, étant rappelé que la victime a pour ainsi dire été choisie au hasard. On rappellera en outre que dans le domaine des délits sexuels, le risque encouru par les victimes potentielles est très important et les critères applicables en la matière doivent être appréciés de manière plus large que pour d’autres crimes ou délits. Enfin, l’intéressé fait actuellement l’objet de deux autres enquêtes pénales distinctes ouvertes pour violation de domicile et infraction à la LCR (Loi fédérale sur la circulation routière; RS 741.01). Vu ce qui précède, et en l’état du dossier, il est fortement à craindre que L.________ reproduise le même type de comportement illicite s’il devait être libéré. Le risque de récidive est par conséquent manifeste et aucune mesure de substitution n’est en mesure de pallier ce risque.</w:t>
      </w:r>
    </w:p>
    <w:p>
      <w:r>
        <w:rPr>
          <w:b/>
        </w:rPr>
        <w:t>E. 4</w:t>
      </w:r>
    </w:p>
    <w:p>
      <w:r>
        <w:t>a) S’agissant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est détenu depuis le 30 octobre 2013, soit depuis moins d’un mois. Compte tenu de ses antécédents et des charges qui pèsent sur lui, il s'expose à une peine privative de liberté d’une durée supérieure à celle de la détention provisoire subie à ce jour. Par conséquent, le principe de la proportionnalité est respecté.</w:t>
      </w:r>
    </w:p>
    <w:p>
      <w:r>
        <w:rPr>
          <w:b/>
        </w:rPr>
        <w:t>E. 5</w:t>
      </w:r>
    </w:p>
    <w:p>
      <w:r>
        <w:t>a) Le recourant se plaint des conditions de sa détention. Il explique notamment qu’au moment du dépôt de son recours, soit le 11 novembre 2013, il avait déjà passé 13 jours dans les cellules de la zone de rétention de l’Hôtel de police de Lausanne, ce qui dépasserait manifestement le délai légal maximum de 48 heures autorisé pour de telles structures cellulaires inadaptées à des détentions plus longues (recours, p. 5). Il requiert qu'il soit constaté que les conditions de sa détention violent l'art. 3 CEDH (Convention du 4 novembre 1950 de sauvegarde des droits de l’homme et des libertés fondamentales; RS 0.101), les art. 234 et 235 CPP, ainsi que l’art. 27 LVCPP (Loi vaudoise d'introduction du Code de procédure pénale du 19 mai 2009; RSV 312.01). b) Selon la jurisprudence du Tribunal fédéral, des irrégularités entachant la procédure de détention provisoire, notamment des irrégularités durant la procédure de placement ou de prolongation de la détention, n'entraînent pas la mise en liberté immédiate du prévenu, dans la mesure où les conditions de mise en détention provisoire sont par ailleurs réunies (ATF 139 IV 41 c. 2.2). Tel est le cas en l'espèce, comme cela a été relaté ci-dessus. En revanche, 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139 IV 41 c. 3.1 et les arrêts cités). L'art. 3 CEDH, qui interdit, comme d'autres dispositions constitutionnelles ou conventionnelles, la torture et les peines ou traitements dégradants, impose notamment des standards minimaux en matière de détention, concrétisés par les Règles pénitentiaires européennes adoptées par le Comité des Ministres du Conseil de l'Europe.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(al. 2). Les art. 10 ss LEDJ (Loi sur l’exécution de la détention avant jugement; RSV 312.07)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(ATF 139 IV 41 c. 3.2). c) En l'espèce, les irrégularités de la détention provisoire ont été invoquées pour la première fois par L.________ dans son recours du 11 novembre 2013. Aussi le Tribunal des mesures de contrainte ne pouvait-il pas les constater dans sa décision du 1 er novembre 2013. Toutefois, L.________, qui a été transféré le 14 novembre 2013 à la Prison du Bois-Mermet (PV des opérations du 14 novembre 2011, p. 5; P. 23, p. 2), rend à tout le moins crédible l'existence d'une violation des dispositions conventionnelles, légales et réglementaires précitées relatives aux conditions de la détention provisoire. Il appartient à l'autorité saisie de la demande de mise en détention de vérifier que la détention provisoire a lieu dans des conditions acceptables, au regard notamment des art. 234 et 235 al. 1 CPP qui imposent une exécution de la détention provisoire dans des établissements appropriés, et conformes au principe de la proportionnalité, étant rappelé qu’une telle constatation ne saurait avoir pour conséquence la remise en liberté du prévenu (ATF 139 IV 41 c. 3.4; TF 1B_39/2013 du 14 février 2013 c. 3.6). Il sied de constater que le Tribunal des mesures de contrainte est le mieux à même d'examiner les griefs invoqués par L.________ (CREP 4 juin 2013/323 c. 5c et les arrêts cités). Le dossier de la cause devra donc lui être retourné et cette autorité sera invitée à procéder à cet examen afin de constater, le cas échéant, les irrégularités dénoncées par le recourant.</w:t>
      </w:r>
    </w:p>
    <w:p>
      <w:r>
        <w:rPr>
          <w:b/>
        </w:rPr>
        <w:t>E. 6</w:t>
      </w:r>
    </w:p>
    <w:p>
      <w:r>
        <w:t>Il résulte de ce qui précède que le recours doit être partiellement admis. L'ordonnance du 1 er novembre 2013 sera maintenue en tant qu'elle ordonne la détention provisoire de L.________ jusqu'au 30 janvier 2014 au plus tard. Le dossier de la cause sera pour le surplus renvoyé au Tribunal des mesures de contrainte pour qu'il procède dans le sens des considérants. Les frais de la procédure de recours, constitués en l’espèce de l’émolument d'arrêt, par 1’100 fr. (art. 20 al. 1 TFJP [Tarif des frais judiciaires pénaux du 28 septembre 2010; RSV 312.03.1]), et des frais imputables à la défense d’office (art. 422 al. 1 et al. 2 let. a CPP), fixés à 540 fr., plus la TVA, par 43 fr. 20, soit 583 fr. 20, seront mis pour moitié, soit 841 fr. 60, à la charge du recourant, le solde, par 841 fr. 60, étant laissé à la charge de l'Etat (art. 423 al. 1 CPP). Le remboursement à l’Etat de la moitié de l'indemnité allouée au défenseur d’office et mise à la charge de L.________ ne sera toutefois exigible que pour autant que la situation économique de ce dernier se soit améliorée (art. 135 al. 4 CPP). Par ces motifs, la Chambre des recours pénale, statuant à huis clos, prononce : I. Le recours est partiellement admis. II. L’ordonnance du 1 er novembre 2013 est maintenue en tant qu’elle ordonne la détention provisoire de L.________ jusqu’au 30 janvier 2014; pour le surplus, le dossier de la cause est renvoyé au Tribunal des mesures de contrainte pour qu'il procède dans le sens des considérants. III. L'indemnité allouée au défenseur d'office de L.________ est fixée à 583 fr. 20 (cinq cent huitante-trois francs et vingt centimes). IV. Les frais d’arrêt, par 1’100 fr. (mille cent francs) ainsi que l’indemnité allouée sous chiffre III, par 583 fr. 20 (cinq cent huitante-trois francs et vingt centimes) sont mis par moitié, soit 841 fr. 60 (huit cent quarante et un francs et soixante centimes) à la charge de L.________, le solde, par 841 fr. 60 (huit cent quarante et un francs et soixante centimes) étant laissé à la charge de l’Etat. V. Le remboursement à l’Etat de la moitié de l’indemnité allouée sous chiffre III et mise à la charge de L.________, soit 291 fr. 60 (deux cent nonante et un francs et soixante centimes), sera exigible pour autant que la situation économique de ce dernier se soit améliorée. VI. Le présent arrêt est exécutoire. Le président :               La greffière : Du L'arrêt qui précède, dont la rédaction a été approuvée à huis clos, est notifié, par l'envoi d'une copie complète, à : - Me Nicole Diserens, avocate (pour L.________), - Ministère public central, et communiqué à : - Monsieur le Président du Tribunal des mesures de contrainte, - Madame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