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957 vom 28. November 2013</w:t>
      </w:r>
    </w:p>
    <w:p>
      <w:r>
        <w:t>VD Tribunal cantonal, 2013-11-28, FR</w:t>
      </w:r>
    </w:p>
    <w:p>
      <w:r>
        <w:rPr>
          <w:b/>
        </w:rPr>
        <w:t xml:space="preserve">Quelle: </w:t>
      </w:r>
      <w:r>
        <w:t>https://mcp.opencaselaw.ch/entscheid/vd_findinfo_D_cision___2013___957</w:t>
      </w:r>
    </w:p>
    <w:p>
      <w:r>
        <w:t>FR: VD_FINDINFO Décision / 2013 / 957 du 28 novembre 2013</w:t>
      </w:r>
    </w:p>
    <w:p>
      <w:r>
        <w:t>IT: VD_FINDINFO Décision / 2013 / 957 del 28 novembre 2013</w:t>
      </w:r>
    </w:p>
    <w:p>
      <w:pPr>
        <w:pStyle w:val="Heading2"/>
      </w:pPr>
      <w:r>
        <w:t>Regeste</w:t>
      </w:r>
    </w:p>
    <w:p>
      <w:r>
        <w:t>CLASSEMENT DE LA PROCÉDURE, INDEMNITÉ{EN GÉNÉRAL} | 319 CPP (CH), 429 al. 1 let. a CPP (CH)</w:t>
      </w:r>
    </w:p>
    <w:p>
      <w:pPr>
        <w:pStyle w:val="Heading2"/>
      </w:pPr>
      <w:r>
        <w:t>Erwägungen</w:t>
      </w:r>
    </w:p>
    <w:p>
      <w:r>
        <w:rPr>
          <w:b/>
        </w:rPr>
        <w:t>E. 1</w:t>
      </w:r>
    </w:p>
    <w:p>
      <w:r>
        <w:t>a) Interjeté dans le délai légal (art. 322 al. 2 CPP [Code de procédure pénale suisse du 5 octobre 2007; RS 312.0]), contre une ordonnance du Ministère public (art. 393 al. 1 let. a CPP), par les prévenus qui ont qualité pour recourir (art. 382 al. 1 CPP) et dans les formes prescrites (art. 385 al. 1 CPP), le recours est recevable. b) L’art. 395 CPP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(a) lorsqu’il porte exclusivement sur des contraventions ou (b) lorsqu’il porte sur les conséquences économiques accessoires d’une décision et que le montant litigieux n’excède pas 5’000 francs. Dans ces cas, un juge de la Chambre des recours pénale est compétent pour statuer en tant que juge unique (art. 13 al. 2 LVCPP [loi d’introduction du Code de procédure pénale suisse; RSV 312.01]). L’indemnité due au défenseur entre dans la notion de conséquences économiques d'une décision (Rémy, in: Kuhn/Jeanneret [éd.], Commentaire romand, Code de procédure pénale suisse, Bâle 2011, n. 2 ad art. 395 CPP, p. 1763; Schmid, Handbuch des schweizerischen Strafprozessrechts, 2009, n. 1521, p. 697; Stephenson/Thiriet, in: Niggli/Heer/Wiprächtiger [éd.], Basler Kommentar, Schweizerische Strafprozessordnung, Jugendstrafprozessordnung, Bâle 2011, n. 5 ad art. 395 CPP; Message du Conseil fédéral relatif à l’unification du droit de la procédure pénale du 21 décembre 2005, FF 2006 II 1057 ss, spéc. 1297). Le montant litigieux, qui détermine s’il appartient à la Chambre des recours pénale en corps ou à un juge de statuer sur le recours, correspond à la différence entre le montant réclamé et la somme allouée par la décision attaquée (cf. Stephenson/Thiriet, op. cit., n. 6 ad art. 395 CPP). En l'occurrence, le montant réclamé par les recourants s'élève à 10’238 fr. et celui alloué dans l’ordonnance de classement du 26 juillet 2013 à 2'200 francs. Ainsi, le montant litigieux s'élève à 8’038 fr. (10'238 fr. – 2'200 fr.), de sorte que le recours relève de la compétence de la Chambre des recours pénale en corps (art. 395 let. b CPP, a contrario).</w:t>
      </w:r>
    </w:p>
    <w:p>
      <w:r>
        <w:rPr>
          <w:b/>
        </w:rPr>
        <w:t>E. 2</w:t>
      </w:r>
    </w:p>
    <w:p>
      <w:r>
        <w:t>Les recourants contestent exclusivement le montant de l’indemnité de l’art. 429 CPP. Ils reprochent au Ministère public de s’être écarté sans motifs de la liste d’honoraires de leur mandataire. a) En vertu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L’indemnisation prévue à l’art. 429 al. 1 let. a CPP suppose que tant le recours à un avocat que l’activité déployée par celui-ci sont justifiés (ATF 138 IV 197 c. 2.3.4). Il convient donc d’appliquer les mêmes principes qu’en matière de fixation de la rémunération du défenseur d’office et de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devant toutefois bénéficier d’une marge d’appréciation suffisante pour déterminer l’importance du travail qu’exige l’affaire (ATF 109 Ia 107 c. 3b). De manière générale, la doctrine est d’avis que l’indemnité visée par l’art. 429 al. 1 let. a CPP doit correspondre au tarif usuel du barreau applicable dans le canton où la procédure se déroule et englober la totalité des coûts de défense (cf. Jeanneret/Kuhn, Précis de procédure pénale, Berne 2013, n. 5065 p. 123; Mizel/Rétornaz, in: Kuhn/Jeanneret [éd.], op. cit., n. 35 ad art. 429 CPP; Wehrenberg/Bernhard, in: Niggli/Heer/Wiprächtiger [éd.], op. cit., n. 15 ad art. 429 CPP). Cette approche doit être suivie. En effet, l'indemnisation prévue à l'art. 429 al. 1 let. a CPP tend à ce que l'Etat répare la totalité du dommage en relation avec la procédure pénale (Message du Conseil fédéral relatif à l’unification du droit de la procédure pénale du 21 décembre 2005, FF 2006 p. 1313; TF 6B_392/2013 du 4 novembre 2013 c. 2.3). b) En l’occurrence, les motifs invoqués par le Ministère public pour justifier une différence entre les montants des indemnités allouées aux recourants sont inadéquats, dans la mesure où il s’agit d’une indemnité pour les frais de défense (art. 429 al. 1 let. a CPP) et non d’une indemnité pour tort moral (art. 429 al. 1 let. c CPP). Du reste, la Procureure n’indique pas les raisons pour lesquelles elle s’est écartée considérablement du montant revendiqué par le mandataire des recourants. Au vu de la complexité de l’affaire et de la durée de celle-ci – Me Jean-Jacques Schwaab ayant été mandaté le 13 février 2009 et plusieurs recours ayant été déposés par les parties plaignantes –, le nombre d’heures d’activité consacré à la défense des prévenus jusqu’à la notification de l’ordonnance entreprise, soit 33.44 heures, n’apparaît pas excessif. Pour son recours, le mandataire se prévaut d’un tarif horaire de 270 fr. dont il n’y a pas lieu de s’écarter. Pour une telle durée d'activité, l'indemnité due au titre d'honoraires est donc de 9'108 francs. A ce montant s'ajoutent 455 fr. 40 de débours (5%), ainsi que 765 fr. 10 à titre de TVA. Partant, c’est une indemnité de 10'328 fr. 50 qui pourrait être allouée à X.________ et T.________, solidairement entre eux, pour l’exercice raisonnable de leurs droits de procédure, vu qu’ils sont représentés par le même avocat. Dans la mesure où les recourants concluent à une indemnité de 10'238 fr., c’est ce dernier montant qui leur sera en définitive alloué.</w:t>
      </w:r>
    </w:p>
    <w:p>
      <w:r>
        <w:rPr>
          <w:b/>
        </w:rPr>
        <w:t>E. 3</w:t>
      </w:r>
    </w:p>
    <w:p>
      <w:r>
        <w:t>En définitive, le recours doit être admis et l’ordonnance réformée dans le sens des considérants qui précèdent. Les frais de la procédure de recours, par 880 fr. (art. 20 al. 1 TFJP [tarif des frais judiciaires pénaux du 28 septembre 2010; RSV 312.03.1]), seront laissés à la charge de l’Etat. Enfin, les recourants qui ont obtenu entièrement gain de cause et qui ont procédé avec l'assistance d'un conseil professionnel ont droit à une indemnité pour les dépenses occasionnées par l'exercice raisonnable de leurs droits dans le cadre de la présente procédure de recours, conformément à l'art. 429 al. 1 let. a CPP auquel renvoie l’art. 436 al. 1 CPP, à la charge de l'Etat. Il convient d'arrêter cette indemnité à 810 fr., plus 64 fr. 80 à titre de TVA, soit 874 fr. 80 pour toutes choses . Par ces motifs, la Chambre des recours pénale, statuant à huis clos, prononce : I. Le recours est admis. II. L’ordonnance du 26 juillet 2013 est réformée comme suit aux chiffres II et III de son dispositif : II. Fixe l’indemnité due à X.________ et T.________, solidairement entre eux, pour l’exercice raisonnable de leurs droits de procédure à 10’238 fr. (dix mille deux cent trente-huit francs), débours et TVA compris, à la charge de l’Etat ; III. supprimé. Elle est maintenue pour le surplus. III. Les frais d’arrêt, par 880 fr. (huit cent huitante francs), sont laissés à la charge de l’Etat. IV. Une indemnité de 874 fr. 80 (huit cent septante-quatre francs et huitante centimes) est allouée à X.________ et T.________, solidairement entre eux, pour la procédure de recours. V. Le présent arrêt est exécutoire. Le président :               La greffière : Du L'arrêt qui précède, dont la rédaction a été approuvée à huis clos, est notifié, par l'envoi d'une copie complète, à : - M. Jean-Jacques Schwaab, avocat (pour X.________ et T.________), - Ministère public central, et communiqué à : ‑ M. Philippe Chaulmontet, avocat (pour C.L.________ et B.L.________),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