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954 vom 12. November 2013</w:t>
      </w:r>
    </w:p>
    <w:p>
      <w:r>
        <w:t>VD Tribunal cantonal, 2013-11-12, FR</w:t>
      </w:r>
    </w:p>
    <w:p>
      <w:r>
        <w:rPr>
          <w:b/>
        </w:rPr>
        <w:t xml:space="preserve">Quelle: </w:t>
      </w:r>
      <w:r>
        <w:t>https://mcp.opencaselaw.ch/entscheid/vd_findinfo_D_cision___2013___954</w:t>
      </w:r>
    </w:p>
    <w:p>
      <w:r>
        <w:t>FR: VD_FINDINFO Décision / 2013 / 954 du 12 novembre 2013</w:t>
      </w:r>
    </w:p>
    <w:p>
      <w:r>
        <w:t>IT: VD_FINDINFO Décision / 2013 / 954 del 12 novembre 2013</w:t>
      </w:r>
    </w:p>
    <w:p>
      <w:pPr>
        <w:pStyle w:val="Heading2"/>
      </w:pPr>
      <w:r>
        <w:t>Regeste</w:t>
      </w:r>
    </w:p>
    <w:p>
      <w:r>
        <w:t>NON-LIEU, VOL{DROIT PÉNAL}, FRAIS JUDICIAIRES, RÉPARTITION DES FRAIS, NÉGLIGENCE GRAVE, INTENTION | 139 CP, 310 CPP (CH), 420 CPP</w:t>
      </w:r>
    </w:p>
    <w:p>
      <w:pPr>
        <w:pStyle w:val="Heading2"/>
      </w:pPr>
      <w:r>
        <w:t>Erwägungen</w:t>
      </w:r>
    </w:p>
    <w:p>
      <w:r>
        <w:rPr>
          <w:b/>
        </w:rPr>
        <w:t>E. 1</w:t>
      </w:r>
    </w:p>
    <w:p>
      <w:r>
        <w:t>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Le recourant estime qu’il existe suffisamment d’éléments au dossier pour justifier l’ouverture d’une instruction pénale. a) 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ou encore des cas où l'identité de l'auteur de l'infraction ne peut vraisemblablement pas être établie (TF 1B_67/2012 du 29 mai 2012 c. 3.2). Dans de tel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Il ne se justifie pas d’ouvrir une instruction pénale (art. 309 CPP) qui devra être close par une ordonnance de classement dans la mesure où une condamnation apparaît très vraisemblablement exclue (cf. ATF 138 IV 86 c. 4.1.1; TF 1B_272/2011 du 22 mars 2012 c. 3.1.1). b) En l’occurrence, la police n’a pas joint à son rapport les documents, fournis par le recourant, qu’elle a jugé insuffisamment probants (cf. P. 4, p. 6). Néanmoins, même si ces documents, respectivement d’autres documents encore, avaient permis d’établir, comme le soutient le recourant, la disparition des DVD, cela n’aurait pas suffi pour justifier l’ouverture d’une instruction pénale contre les intéressés. En effet, ceux-ci ont contesté tout acte délictueux; la disparition des films n’a été signalée à B.D.________ que le 17 janvier 2013, sur la base d’un inventaire débuté le 19 décembre 2012 alors que les prévenus n’avaient plus de clés et donc plus accès aux locaux depuis le 4 décembre 2012 (cf. P. 5/1); le système informatique du vidéo-club a en outre été décrit comme peu fiable par le témoin V.________ (PV aud. 3, réponse 8); enfin, celui-ci admet qu’il a lui aussi été en possession des clés donnant accès aux locaux pendant un mois (PV aud. 3, réponse 6). Dans ces conditions, force est de constater qu’il n’existe pas d’éléments suffisants pour ouvrir une instruction formelle contre les prévenus et qu’aucune autre mesure d’enquête n’est susceptible de renforcer les charges contre eux. C’est donc à bon droit que le Procureur a rendu une ordonnance de non-entrée en matière en application de l’art. 310 al. 1 let. a CPP.</w:t>
      </w:r>
    </w:p>
    <w:p>
      <w:r>
        <w:rPr>
          <w:b/>
        </w:rPr>
        <w:t>E. 3</w:t>
      </w:r>
    </w:p>
    <w:p>
      <w:r>
        <w:t>Le recourant conteste la mise à sa charge des frais d’enquête. Il considère que les reproches sur lesquels s’est fondé le Procureur ne sont pas justifiés. a) Selon l’art. 420 let. a CPP, la Confédération ou le canton peut intenter une action récursoire contre des personnes qui, intentionnellement ou par négligence grave, ont provoqué l’ouverture de la procédure. La première condition pour qu’une action puisse être intentée est que le responsable ait agi intentionnellement ou ait fait preuve de négligence grave. Tel est notamment le cas de l’induction de la justice en erreur ou de la dénonciation calomnieuse (Crevoisier in : Kuhn/Jeanneret [éd.], op. cit., n. 3 ad art. 420 CPP; Moreillon/Parein-Reymond, Petit commentaire, Code de procédure pénale, Bâle 2013, n. 5 ad art. 420 CPP; Domeisen in : Niggli/Heer/Wiprächtiger [éd.], Basler Kommentar, Schweizerische Strafprozessordnung, Jugendstrafprozessordnung, Bâle 2011, n. 7 ad art. 420 CPP; Schmid, Schweizerische Strafprozessordnung, Praxiskommentar, 2. Auflage, Zurich/St-Gall 2013, n. 5 ad art. 420 CPP). L’intention ou la négligence doit porter sur les faits dont la fausseté est connue ou aisément reconnaissable. D’une certaine manière, cette condition subjective est identique à celle qui prévaut dans le cadre d’infractions poursuivies sur plainte en autorisant à condamner à des frais le plaignant qui aurait « agi de manière téméraire ou par négligence grave » (art. 427 al. 2 CPP) (Pitteloud, Code de procédure pénale suisse, Commentaire à l'usage des praticiens, Zurich/St-Gall 2012, n. 1284, p. 852 et les réf. citées; CREP 23 juin 2013/415 c. 2b; CREP 12 mars 2013/321 c. 4b). b) En l’occurrence, le plaignant indique de manière crédible – à tout le moins aucun élément au dossier ne démontre le contraire – que son système informatique permet de suivre précisément le parcours d’un DVD dans son magasin, de sorte qu’un inventaire, à l’arrivée des prévenus, n’était pas forcément nécessaire. Le fait qu’un DVD manque à l’inventaire ne signifie pas, effectivement, qu’il a été volé. Néanmoins, le vol demeure une hypothèse. Par ailleurs, l’enquête n’a pas permis d’établir que les DVD quittaient le magasin pour une autre succursale ou qu’ils étaient vendus au noir. Cet élément ressort uniquement des affirmations des prévenus et ne permet donc pas de considérer qu’il s’agit d’un fait établi. Enfin, le témoin n’est pas suffisamment affirmatif s’agissant d’une éventuelle demande du plaignant tendant à ce qu’il témoigne en défaveur des prévenus, dans la mesure où il ne se réfère qu’à des « sous-entendus » (PV aud. 3, réponse 8). Dans ces circonstances, il faut constater qu’il n’y a pas suffisamment d’éléments pour considérer que le plaignant a agi intentionnellement ou fait preuve de négligence grave au sens de l’art. 420 let. a CPP. C’est donc à tort que le Procureur a mis les frais à la charge de ce dernier.</w:t>
      </w:r>
    </w:p>
    <w:p>
      <w:r>
        <w:rPr>
          <w:b/>
        </w:rPr>
        <w:t>E. 4</w:t>
      </w:r>
    </w:p>
    <w:p>
      <w:r>
        <w:t>En définitive, le recours de S.________ doit être partiellement admis, en ce sens que les frais de la procédure d’enquête sont laissés à la charge de l’Etat. S’agissant des dépens réclamés par le recourant, la Cour relève qu’aucune disposition ne permet à ce dernier, en tant que partie plaignante, de réclamer une indemnisation pour les honoraires de son conseil de choix. En effet, les exigences de l’art. 433 CPP, disposition qui permet, à certaines conditions, à la partie plaignante de demander une indemnité au prévenu (et non à l’Etat), ne sont pas remplies en l’occurrence. Vu l’issue de la cause, les frais de la procédure de recours, constitués du seul émolument d'arrêt, par 770 fr. (art. 20 al. 1 TFJP [tarif des frais judiciaires pénaux; RSV 312.03.1]), seront mis par moitié à la charge du recourant, le solde étant laissé à la charge de l’Etat (art. 428 al. 1 CPP). Par ces motifs, la Chambre des recours pénale, statuant à huis clos, prononce : I. Le recours est partiellement admis. II. L’ordonnance du 28 août 2013 est réformée comme suit au chiffre II de son dispositif : II. Les frais, par 1'125 fr., sont laissés à la charge de l’Etat. III. Les frais d’arrêt, par 770 fr. (sept cent septante francs), sont mis par moitié à la charge du recourant, le solde étant laissé à la charge de l’Etat. IV. Le présent arrêt est exécutoire. Le vice-président : La greffière : Du L'arrêt qui précède, dont la rédaction a été approuvée à huis clos, est notifié, par l'envoi d'une copie complète, à : - Me Angelo Ruggiero, avocat (pour S.________), - Mme B.D.________, - M. A.D.________,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