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951 vom 19. November 2013</w:t>
      </w:r>
    </w:p>
    <w:p>
      <w:r>
        <w:t>VD Tribunal cantonal, 2013-11-19, FR</w:t>
      </w:r>
    </w:p>
    <w:p>
      <w:r>
        <w:rPr>
          <w:b/>
        </w:rPr>
        <w:t xml:space="preserve">Quelle: </w:t>
      </w:r>
      <w:r>
        <w:t>https://mcp.opencaselaw.ch/entscheid/vd_findinfo_D_cision___2013___951</w:t>
      </w:r>
    </w:p>
    <w:p>
      <w:r>
        <w:t>FR: VD_FINDINFO Décision / 2013 / 951 du 19 novembre 2013</w:t>
      </w:r>
    </w:p>
    <w:p>
      <w:r>
        <w:t>IT: VD_FINDINFO Décision / 2013 / 951 del 19 novembre 2013</w:t>
      </w:r>
    </w:p>
    <w:p>
      <w:pPr>
        <w:pStyle w:val="Heading2"/>
      </w:pPr>
      <w:r>
        <w:t>Regeste</w:t>
      </w:r>
    </w:p>
    <w:p>
      <w:r>
        <w:t>DÉTENTION PRÉVENTIVE, RISQUE DE RÉCIDIVE, PROPORTIONNALITÉ | 221 al. 1 let. c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3</w:t>
      </w:r>
    </w:p>
    <w:p>
      <w:r>
        <w:t>a) L’ordonnance attaquée se fonde sur le risque de réitération (art. 221 al.1 lett. c CPP) que le recourant conteste. b)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signifie que les infractions précédentes doivent être des crimes ou des délits et que l'infraction redoutée doit être similaire, sans pour autant être identique (Schmocker, op. cit. n. 18 ad. art. 221 CPP, p. 1028; ATF 137 IV 13 c. 3 et 4).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c) En l’espèce, B.________ a déjà été condamné par le Ministère public de l’arrondissement du Nord vaudois, le 28 janvier 2013, à 120 jours-amende à 30 fr. le jour-amende avec sursis à l’exécution de la peine et délai d’épreuve de 4 ans et à une amende de 1'200 fr. pour conduite d’un véhicule automobile sans permis de conduire, usurpation de plaques de contrôle, circulation sans permis de circulation ou plaques de contrôle et sans assurance responsabilité-civile, violation des règles de la circulation routière et conduite d’un véhicule défectueux. Il est encore à relever que B.________ a été détenu provisoirement dans le cadre de cette même affaire du 31 juillet au 28 août 2013 et qu’il aurait vraisemblablement repris son activité délictueuse au plus tard quelques jours après sa mise en liberté (cf. rapport de police du 18 octobre 2013, P. 45). Ce séjour en prison n’a clairement pas eu d’effet dissuasif. Compte tenu des circonstances personnelles du recourant et de la précarité de sa situation économique, il y a lieu de craindre la réitération d’actes de même nature pour améliorer ses conditions d’existence. En outre, les infractions dont la répétition est à redouter sont de nature à compromettre gravement la sécurité d’autrui au sens de l’art. 221 al. 1 let. c CPP (cf. TF 1B_39/2013 du 14 février 2013 c. 2.2; 1B_731/2011 du 16 janvier 2013 c. 3.3). Enfin, il convient de relever l’intensité de l’activité délictueuse de B.________, qui aurait commis pas loin d’une vingtaine de cambriolages entre juin et juillet 2013 (cf. procès-verbal d’audition du 4 août 2013). Une telle assiduité dans de cadre de son activité délictueuse est suffisante pour retenir un risque de réitération de la part du recourant. Par conséquent, à ce stade de l’enquête, il existe une forte présomption de culpabilité qui laisse craindre à une répétition de ce genre d’infraction au cas où il devrait être remis en liberté. Le risque de récidive est ainsi manifeste.</w:t>
      </w:r>
    </w:p>
    <w:p>
      <w:r>
        <w:rPr>
          <w:b/>
        </w:rPr>
        <w:t>E. 4</w:t>
      </w:r>
    </w:p>
    <w:p>
      <w:r>
        <w:t>a) Invoquant une violation de la proportionnalité, le recourant se plaint de ses conditions de détention. Il fait valoir qu’il est détenu depuis son arrestation – soit vingt-deux jours au moment du dépôt du recours – d’abord au Centre d’intervention de Bursins, puis de la Blécherette, enfin à la zone carcérale de la Blécherette. Il estime que sa dignité humaine a été atteinte de manière constante et grave durant cette période de détention, qu’il ressent comme une torture psychologique. Il retient par conséquent que la détention subie n’est pas proportionnelle au vu de ses conditions d’exécution, sensiblement plus limitées que lors d’une incarcération dans un établissement pénitentiaire respectant les minima prévus par la Constitution et la CEDH (Convention de sauvegarde des droits de l'homme et des libertés fondamentales du 4 novembre 1950, RS 0.101) . b) Toutefois, selon la jurisprudence du Tribunal fédéral, des irrégularités entachant la procédure de détention provisoire, notamment des irrégularités durant la procédure de placement ou de prolongation de la détention, n'entraînent pas la mise en liberté immédiate du prévenu, dans la mesure où les conditions de mise en détention provisoire sont par ailleurs réunies (ATF 139 IV 41 c. 2.2). Tel est le cas en l’espèce, comme cela a été relaté sous chiffre 3. Au surplus, le recourant n’a pris aucune conclusion tendant à la constatation de l’irrégularité des conditions de détention provisoire. c) Ainsi, au vu des actes reprochés au recourant, il y a lieu de conclure qu’en l’espèce le principe de la proportionnalité est respecté au regard de la durée de la détention déjà subie depuis le 30 septembre 2013 et de la sanction prévisible en cas de condamnation (ATF 133 I 168 c. 4.1; ATF 132 I 21 c. 4.1; TF AB_411/2011 du 31 août 2011 c. 4.1).</w:t>
      </w:r>
    </w:p>
    <w:p>
      <w:r>
        <w:rPr>
          <w:b/>
        </w:rPr>
        <w:t>E. 5</w:t>
      </w:r>
    </w:p>
    <w:p>
      <w:r>
        <w:t>novembre 2013 est confirmée. III. L’indemnité allouée au défenseur d’office de B.________ est fixée à 583 fr. 20 (cinq cent huitante trois francs et vingt centimes). IV. L’émolument d’arrêt, par 770 fr. (sept cent septante francs), ainsi que l’indemnité due au défenseur d’office du recourant, par 583 fr. 20 (cinq cent huitante trois francs et vingt centimes), sont mis à la charge de B.________. V. Le remboursement à l’Etat de l’indemnité allouée au chiffre III ci-dessus sera exigible pour autant que la situation économique de B.________ se soit améliorée. VI. Le présent arrêt est exécutoire. Le président :               La greffière : Du L'arrêt qui précède, dont la rédaction a été approuvée à huis clos, est notifié, par l'envoi d'une copie complète, à : - M. José Carlos Coret, avocat (pour B.________), - Ministère public central, et communiqué à : - M. le Président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