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95 vom 6. Februar 2013</w:t>
      </w:r>
    </w:p>
    <w:p>
      <w:r>
        <w:t>VD Tribunal cantonal, 2013-02-06, FR</w:t>
      </w:r>
    </w:p>
    <w:p>
      <w:r>
        <w:rPr>
          <w:b/>
        </w:rPr>
        <w:t xml:space="preserve">Quelle: </w:t>
      </w:r>
      <w:r>
        <w:t>https://mcp.opencaselaw.ch/entscheid/vd_findinfo_D_cision___2013___95</w:t>
      </w:r>
    </w:p>
    <w:p>
      <w:r>
        <w:t>FR: VD_FINDINFO Décision / 2013 / 95 du 6 février 2013</w:t>
      </w:r>
    </w:p>
    <w:p>
      <w:r>
        <w:t>IT: VD_FINDINFO Décision / 2013 / 95 del 6 febbraio 2013</w:t>
      </w:r>
    </w:p>
    <w:p>
      <w:pPr>
        <w:pStyle w:val="Heading2"/>
      </w:pPr>
      <w:r>
        <w:t>Regeste</w:t>
      </w:r>
    </w:p>
    <w:p>
      <w:r>
        <w:t>RÉVISION{DÉCISION}, MODIFICATION DES CIRCONSTANCES | 410 CPP (CH)</w:t>
      </w:r>
    </w:p>
    <w:p>
      <w:pPr>
        <w:pStyle w:val="Heading2"/>
      </w:pPr>
      <w:r>
        <w:t>Erwägungen</w:t>
      </w:r>
    </w:p>
    <w:p>
      <w:r>
        <w:rPr>
          <w:b/>
        </w:rPr>
        <w:t>E. 1</w:t>
      </w:r>
    </w:p>
    <w:p>
      <w:r>
        <w:t>Pour être valides en la forme, les demandes de révision doivent être motivées et adressées par écrit à la juridiction d’appel, les motifs de révision devant être exposés et justifiés dans la demande (art. 411 al. 1 CPP; Piquerez, Traité de procédure pénale suisse, 3 ème édition, Schulthess § 2011, n. 2092, p. 679 et Niggli et Wiprächtiger, Basler Kommentar, Schweizerische Strafprozessordnung Jungenstrafprozessordnung, Bâle 2011, n. 6 ad art. 411 CPP, p. 2731). La requête déposée le 29 janvier 2013 par L.________ remplit les exigences de forme de l'art. 411 CPP. 2.1 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L'art. 410 al. 1 let. a CPP reprend la double exigence posée à l'art. 385 CP selon laquelle les faits ou moyens de preuve invoqués doivent être nouveaux et sérieux (cf. FF 2006 1303 ad. art. 417 [actuel art. 410 CPP]).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130 IV 72 c. 1). Le fait survenu après le jugement dont la révision est demandée n’est pas considéré comme inconnu (Rémy, in Commentaire romand, op., cit., n. 10 ad art. 410 CPP; Message, FF 2006, p. 1303 ; dans le même sens ad ancien droit, De Montmollin, La révision pénale selon l'art. 397 CPC et les lois vaudoises, thèse 1981, p. 124). 2.2 En l'occurrence, l'ordonnance pénale dont le requérant demande la révision a été rendue le 31 mai 2012. Il ressort des pièces transmises par L.________ qu'il a été autorisé à séjourner en Suisse en vue de son mariage le 22 juin 2012 (P. 4) et qu'il a obtenu un permis de séjour valable dès le 29 novembre 2012 (P. 5). Ces faits, dont le requérant se prévaut à l'appui de sa demande de révision, sont postérieurs au moment auquel l'ordonnance pénale est devenue définitive. Ils ne peuvent dès lors être invoqués à l'appui d'une demande de révision au sens de l'art. 410 CPP. Partant, la requête, manifestement mal fondée, doit être rejetée. 3.1 L'art. 412 CPP qui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arrête des mesures provisoires, pour autant que cette décision n'incombe pas à la direction de la procédure en vertu de l'art. 388 (al. 4). Selon le message du Conseil fédéral, la révision ne permet d’examiner un jugement que si certaines conditions formelles et matérielles sont réunies et la procédure de l’examen préalable sert avant tout à constater si les motifs invoqués à l’appui de la demande de révision sont vraisemblables (cf. Message relatif à l'unification du droit de la procédure pénale du 21 décembre 2005, FF 2006 1305 ad art. 419 [actuel art. 412 CPP]). Celle-ci doit contenir – sous peine d’irrecevabilité – des conclusions, indiquer les motifs de révision et tous les faits ou moyens de preuve sur lesquels elle se fonde. Uniquement lorsque ces conditions sont remplies et s’il existe une des causes de révision limitativement énumérées à l’art. 410 al. 1 CPP, la juridiction d’appel est tenue de procéder à un examen provisoire de la demande en révision. Le défaut manifeste de motivation a pour conséquences la non-entrée en matière de la juridiction d'appel (Rémy, in: Commentaire romand, op. cit., n. 2 ad art. 411 CPP et nn. 2 et 4 ad art. 412 CPP). Il n'est, en outre, pas exclu de prononcer une décision de non-entrée en matière lorsque les moyens de révision invoqués apparaissent d'emblée comme non vraisemblables, l'économie de la procédure le commandant. En effet, si la situation est évidente, il n'y a pas de raison que l'autorité requière des déterminations (art. 412 al. 3 CPP) pour ensuite rejeter la demande (art. 413 al. 1 CPP; CAPE, 18 juillet 2011, n° 92). Le Tribunal fédéral a récemment rappelé que la procédure de non-entrée en matière de l'art. 412 al. 2 CPP est en principe réservée à des vices de nature formelle (Heer, in Basler Kommentar, Schweizerische Strafprozessordung, 2011, n. 7 ad art. 412 CPP). Il est toutefois également possible de prononcer une décision de non-entrée en matière lorsque les moyens de révision invoqués apparaissent d'emblée comme non vraisemblables ou mal fondés. Le Code de procédure pénale suisse ne précise pas si, dans ce cas, il convient de consulter préalablement les parties; une prise de position de leur part n'apparaît pas nécessaire, mais peut être souhaitable dans les cas douteux (TF 6B_415/2012 du 14 décembre 2012, consid. 1.1 et les références citées). 3.2 En l’espèce, il n’existe à l’évidence aucun motif valable de révision (consid. 2.2 ci-dessus), de sorte que le cas n’est pas douteux. Il n'y a ainsi pas lieu de consulter préalablement les autres parties, une prise de position de leur part n'apparaissant pas nécessaire. Au vu de ce qui précède, la demande de révision de L.________, manifestement infondée, doit être rejetée dans la mesure où elle est recevable. Le rejet de la demande de révision rend la requête d'effet suspensif du requérant sans objet.</w:t>
      </w:r>
    </w:p>
    <w:p>
      <w:r>
        <w:rPr>
          <w:b/>
        </w:rPr>
        <w:t>E. 4</w:t>
      </w:r>
    </w:p>
    <w:p>
      <w:r>
        <w:t>Au vu de l'issue de la cause, les frais de révision, par 550 fr. (art. 21 TFJP [Tarif des frais judiciaires pénaux, RSV 312.03.1], par renvoi de l'art. 22 de cette loi), doivent être mis à la charge de L.________.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