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912 vom 31. Oktober 2013</w:t>
      </w:r>
    </w:p>
    <w:p>
      <w:r>
        <w:t>VD Tribunal cantonal, 2013-10-31, FR</w:t>
      </w:r>
    </w:p>
    <w:p>
      <w:r>
        <w:rPr>
          <w:b/>
        </w:rPr>
        <w:t xml:space="preserve">Quelle: </w:t>
      </w:r>
      <w:r>
        <w:t>https://mcp.opencaselaw.ch/entscheid/vd_findinfo_D_cision___2013___912</w:t>
      </w:r>
    </w:p>
    <w:p>
      <w:r>
        <w:t>FR: VD_FINDINFO Décision / 2013 / 912 du 31 octobre 2013</w:t>
      </w:r>
    </w:p>
    <w:p>
      <w:r>
        <w:t>IT: VD_FINDINFO Décision / 2013 / 912 del 31 ottobre 2013</w:t>
      </w:r>
    </w:p>
    <w:p>
      <w:pPr>
        <w:pStyle w:val="Heading2"/>
      </w:pPr>
      <w:r>
        <w:t>Regeste</w:t>
      </w:r>
    </w:p>
    <w:p>
      <w:r>
        <w:t>PROCÉDURE PÉNALE DES MINEURS, LIBÉRATION CONDITIONNELLE, SEMI-DÉTENTION | 28 DPMin, 39 PPMin, 43 PPMin</w:t>
      </w:r>
    </w:p>
    <w:p>
      <w:pPr>
        <w:pStyle w:val="Heading2"/>
      </w:pPr>
      <w:r>
        <w:t>Erwägungen</w:t>
      </w:r>
    </w:p>
    <w:p>
      <w:r>
        <w:rPr>
          <w:b/>
        </w:rPr>
        <w:t>E. 1</w:t>
      </w:r>
    </w:p>
    <w:p>
      <w:r>
        <w:t>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Sauf dispositions particulières de la PPMin, le code de procédure pénale suisse du 5 octobre 2007 (CPP; RS 312.0) est applicable (art. 3 al. 1 et 2 PPmin). Selon l’art. 42 PPMin, l'exécution des peines et des mesures de protection relève de l’autorité d’instruction, qui, dans le canton de Vaud, est le juge des mineurs (art.</w:t>
      </w:r>
    </w:p>
    <w:p>
      <w:r>
        <w:rPr>
          <w:b/>
        </w:rPr>
        <w:t>E. 3</w:t>
      </w:r>
    </w:p>
    <w:p>
      <w:r>
        <w:t>En définitive, le recours doit être rejeté et le prononcé attaqué confirmé. Les frais de la procédure de recours, constitués en l’espèce de l’émolument d’arrêt (art. 422 al. 1 CPP), par 405 fr. (art. 20 al. 1 et 2 TFJP [Tarif des frais judiciaires pénaux; RSV 312.03.1]), ainsi que les frais imputables à la défense d’office (art. 422 al. 1 et 2 let. a CPP), fixés à 540 fr., plus la TVA par 43 fr. 20, soit au total 583 fr. 20, sont mis à la charge du recourant, qui succombe (art. 428 al. 1 CPP, applicable par analogie en vertu de l’art. 44 al. 2 PPMin). L'indemnité allouée au défenseur d'office ne sera toutefois exigible que pour autant que la situation économique du recourant se soit améliorée (art. 135 al.</w:t>
      </w:r>
    </w:p>
    <w:p>
      <w:r>
        <w:rPr>
          <w:b/>
        </w:rPr>
        <w:t>E. 4</w:t>
      </w:r>
    </w:p>
    <w:p>
      <w:r>
        <w:t>CPP et 25 al. 2 PPMin). Par ces motifs, le Juge unique de la Chambre des recours pénale, statuant à huis clos prononce: I. Le recours est rejeté. II. Le prononcé du 15 octobre 2013 est confirmé. III. L'indemnité allouée au défenseur d'office de J.________ est fixée à 583 fr. 20 (cinq cent huitante-trois francs et vingt centimes). IV. L'émolument d'arrêt, par 405 fr. (quatre cent cinq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de J.________ se soit améliorée. VI. Le présent arrêt est exécutoire. Le juge :               La greffière : Du L'arrêt qui précède, dont la rédaction a été approuvée à huis clos, est notifié, par l'envoi d'une copie complète, à : - Mme Tiphanie Chappuis, avocate (pour J.________), - Ministère public central; et communiqué à : ‑ Mme la Présidente du Tribunal des mineurs, - Direction de l’Etablissement du Simplon, - Fondation Vaudoise de Probation, - Service de la population, Division Etrangers,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