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902 vom 10. September 2013</w:t>
      </w:r>
    </w:p>
    <w:p>
      <w:r>
        <w:t>VD Tribunal cantonal, 2013-09-10, FR</w:t>
      </w:r>
    </w:p>
    <w:p>
      <w:r>
        <w:rPr>
          <w:b/>
        </w:rPr>
        <w:t xml:space="preserve">Quelle: </w:t>
      </w:r>
      <w:r>
        <w:t>https://mcp.opencaselaw.ch/entscheid/vd_findinfo_D_cision___2013___902</w:t>
      </w:r>
    </w:p>
    <w:p>
      <w:r>
        <w:t>FR: VD_FINDINFO Décision / 2013 / 902 du 10 septembre 2013</w:t>
      </w:r>
    </w:p>
    <w:p>
      <w:r>
        <w:t>IT: VD_FINDINFO Décision / 2013 / 902 del 10 settembre 2013</w:t>
      </w:r>
    </w:p>
    <w:p>
      <w:pPr>
        <w:pStyle w:val="Heading2"/>
      </w:pPr>
      <w:r>
        <w:t>Regeste</w:t>
      </w:r>
    </w:p>
    <w:p>
      <w:r>
        <w:t>PROLONGATION, RISQUE DE RÉCIDIVE, PROPORTIONNALITÉ, ANTÉCÉDENT | 221 CPP (CH), 229 CPP (CH), 230 CPP (CH)</w:t>
      </w:r>
    </w:p>
    <w:p>
      <w:pPr>
        <w:pStyle w:val="Heading2"/>
      </w:pPr>
      <w:r>
        <w:t>Erwägungen</w:t>
      </w:r>
    </w:p>
    <w:p>
      <w:r>
        <w:rPr>
          <w:b/>
        </w:rPr>
        <w:t>E. 1</w:t>
      </w:r>
    </w:p>
    <w:p>
      <w:r>
        <w:t>Aux termes de l’art. 393 aI.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selon l’art. 221 al. 2 CPP, la détention peut être ordonnée s’il y a sérieusement lieu de craindre qu’une personne passe à l’acte après avoir menacé de commettre un crime grave (cf. ATF 137 IV 122 c. 5.2). Une mesure de détention provisoire ou pour des motifs de sûreté n’est compatible avec la liberté personnelle (art. 10 al. 2 Cst. [Constitution fédérale de la Confédération suisse du 18 avril 1999; RS 101] et 5 CEDH [Convention du 4 novembre 1950 de sauvegarde des droits de l'homme et des libertés fondamentales; RS 0.101]) que si elle repose sur une base légale (art. 31 al. 1 et art. 36 al. 1 Cst.), soit en l’espèce l’art. 221 CPP. Elle doit en outre correspondre à un intérêt public et respecter le principe de la proportionnalité (art. 36 al. 2 et 3 Cst.; ATF 123 I 268 c. 2c; TF 1B_374/2011 du 3 août 2011 c. 2; TF 1B_182/2011 du 5 mai 2011 c. 3.1).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5 par. 1 let. c CEDH; art. 221 al. 1 CPP; TF 1B_374/2011 du 3 août 2011 c. 2; TF 1B_182/2011 du 5 mai 2011 c. 3.1;TF 1B_63/2007 du 11 mai 2007 c. 3 non publié à I’ATF 133 I 168).</w:t>
      </w:r>
    </w:p>
    <w:p>
      <w:r>
        <w:rPr>
          <w:b/>
        </w:rPr>
        <w:t>E. 3</w:t>
      </w:r>
    </w:p>
    <w:p>
      <w:r>
        <w:t>En l’espèce, c’est à juste titre que le recourant ne conteste pas l’existence de charges suffisantes, soit de sérieux soupçons de culpabilité. Les faits qui lui sont reprochés ressortent en effet clairement du dossier, plus particulièrement du rapport de police et de l’acte d’accusation du 26 septembre 2013.</w:t>
      </w:r>
    </w:p>
    <w:p>
      <w:r>
        <w:rPr>
          <w:b/>
        </w:rPr>
        <w:t>E. 4</w:t>
      </w:r>
    </w:p>
    <w:p>
      <w:r>
        <w:t>a) Le recourant conteste un risque de réitération. b) La jurisprudence prévoit que le maintien en détention provisoire se justifie s'il y a lieu de présumer, avec une certaine vraisemblance, qu'il existe un danger de récidive (TF 1B_38/2011 du 17 février 2011 c. 4.1). La jurisprudence se montre toutefois moins stricte dans l'exigence de vraisemblance lorsqu'il s'agit de délits de violence graves ou de délits sexuels, car le risque à faire courir aux victimes potentielles est alors considéré comme trop important. En pareil cas, il convient de tenir compte de l'état psychique du prévenu, de son imprévisibilité ou de son agressivité (ibidem; ATF 123 I 268 c. 2e). En outre, si le législateur a voulu poser des conditions strictes en matière de risque de réitération, en exigeant en principe l'existence d'antécédents –  soit de précédentes infractions du même genre –, il n'a pas exclu que le risque de réitération puisse être également admis dans des cas particuliers alors qu'il n'existe qu'un antécédent, voire aucun dans les cas les plus graves. Les dispositions conventionnelle et législative sur la prévention du risque de récidive reposent sur des motifs de sécurité publique et doivent permettre de faire prévaloir l'intérêt à la sécurité publique sur la liberté personnelle du prévenu. La loi autorise d'ailleurs expressément une incarcération lorsqu'il y a lieu de craindre un passage à l'acte, en l'absence de toute infraction préalable, en vertu de l'art. 221 al. 2 CPP (ATF 137 IV 13; TF 1B_182/2011 du 5 mai 2011 c. 4.1; TF 1B_133/2011 du 12 avril 2011 c. 4). c) En premier lieu, la Chambre des recours pénale relève l’intensité de l’activité délictueuse de Z.________. En soutenant que le prévenu a eu une activité délictuelle particulièrement mineure, la défense perd de vue que ce ne sont pas moins de 29 cas qui sont reprochés à Z.________, dont certains ont été commis alors même qu’il faisait déjà l’objet d’une enquête pénale pour des faits similaires. Un tel comportement est suffisant pour retenir un risque de réitération. On rappellera ensuite que le casier judiciaire de l’intéressé fait l’objet de trois condamnations en 2007 et 2008 dont deux pour infraction à la Loi fédérale sur les stupéfiants. Enfin, la défense a produit une attestation stipulant que l’entreprise Passion Peinture serait prête à rencontrer le prévenu en prévision d’un éventuel engagement. De l’avis de la Chambre des recours pénale, vu le comportement du prévenu, une place de travail ne suffit toutefois pas à écarter le risque de récidive.</w:t>
      </w:r>
    </w:p>
    <w:p>
      <w:r>
        <w:rPr>
          <w:b/>
        </w:rPr>
        <w:t>E. 5</w:t>
      </w:r>
    </w:p>
    <w:p>
      <w:r>
        <w:t>Les motifs de détention sont suffisamment établis au regard du risque de réitération pour que l’on puisse se dispenser d’examiner le risque de fuite, les conditions de la détention étant en effet alternatives (cf. CREP 10 juillet 2013/410).</w:t>
      </w:r>
    </w:p>
    <w:p>
      <w:r>
        <w:rPr>
          <w:b/>
        </w:rPr>
        <w:t>E. 6</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Le principe est également valable pour la détention pour des motifs de sûreté. En l’espèce, les débats sont fixés au 13 janvier 2014. Vu la gravité et l’ensemble des charges énoncées, la durée de la détention avant jugement, même prolongée au 20 janvier 2014, pour tenir compte de la lecture du jugement, demeure proportionnée à la peine susceptible d’être prononcée en cas de condamnation. Enfin, aucune mesure de substitution n’est à même de prévenir le risque de réitération retenu.</w:t>
      </w:r>
    </w:p>
    <w:p>
      <w:r>
        <w:rPr>
          <w:b/>
        </w:rPr>
        <w:t>E. 7</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par 770 fr. (art. 20 al. 1 TFJP [tarif des frais judiciaires pénaux; RSV 312.03.1]) et des frais imputables à la défense d’office (art. 422 al. 1 et 2 let. a CPP), fixés à 540 fr., plus la TVA par 43 fr. 20, soit un total de 583 fr. 20, seront mis à la charge de Z.________, qui succombe (art. 428 al. 1 CPP). Le remboursement à l’Etat de l’indemnité allouée au défenseur d’office de Z.________ ne sera toutefois exigible que pour autant que la situation économique de ce dernier se soit améliorée (art. 135 al. 4 CPP). Par ces motifs, la Chambre des recours pénale, statuant à huis clos prononce : I. Le recours est rejeté. II. L'ordonnance attaquée est confirmée. III. L'indemnité allouée au défenseur d'office de Z.________ est fixée à 583 fr. 20 (cinq cent huitante-trois francs et vingt centimes). IV. Les frais du présent arrêt, par 770 fr. (sept cent septante francs), ainsi que l'indemnité due au défenseur d'office, par 583 fr. 20 (cinq cent huitante-trois francs et vingt centimes) du recourant selon le chiffre III ci-dessus, sont mis à la charge de Z.________. V. Le remboursement à l'Etat de l'indemnité allouée au chiffre III ci-dessus sera exigible pour autant que la situation économique de Z.________ se soit améliorée. VI. Le présent arrêt est exécutoire. Le président :               La greffière : Du L'arrêt qui précède, dont la rédaction a été approuvée à huis clos, est notifié, par l'envoi d'une copie complète, à : - Me David Moinat, avocat (pour Z.________), - Ministère public central, et communiqué à : - Mme la Procureure du Ministère public de l’arrondissement de Lausanne, - M. le Président du Tribunal d’arrondissement de Lausanne, - Mme la Présidente du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