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887 vom 25. Oktober 2013</w:t>
      </w:r>
    </w:p>
    <w:p>
      <w:r>
        <w:t>VD Tribunal cantonal, 2013-10-25, FR</w:t>
      </w:r>
    </w:p>
    <w:p>
      <w:r>
        <w:rPr>
          <w:b/>
        </w:rPr>
        <w:t xml:space="preserve">Quelle: </w:t>
      </w:r>
      <w:r>
        <w:t>https://mcp.opencaselaw.ch/entscheid/vd_findinfo_D_cision___2013___887</w:t>
      </w:r>
    </w:p>
    <w:p>
      <w:r>
        <w:t>FR: VD_FINDINFO Décision / 2013 / 887 du 25 octobre 2013</w:t>
      </w:r>
    </w:p>
    <w:p>
      <w:r>
        <w:t>IT: VD_FINDINFO Décision / 2013 / 887 del 25 ottobre 2013</w:t>
      </w:r>
    </w:p>
    <w:p>
      <w:pPr>
        <w:pStyle w:val="Heading2"/>
      </w:pPr>
      <w:r>
        <w:t>Regeste</w:t>
      </w:r>
    </w:p>
    <w:p>
      <w:r>
        <w:t>RISQUE DE FUITE | 221 al. 1 let. a CPP (CH)</w:t>
      </w:r>
    </w:p>
    <w:p>
      <w:pPr>
        <w:pStyle w:val="Heading2"/>
      </w:pPr>
      <w:r>
        <w:t>Erwägungen</w:t>
      </w:r>
    </w:p>
    <w:p>
      <w:r>
        <w:rPr>
          <w:b/>
        </w:rPr>
        <w:t>E. 1</w:t>
      </w:r>
    </w:p>
    <w:p>
      <w:r>
        <w:t>a) 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il y a donc lieu d’entrer en matière sur le recours, qui a été interjeté en temps utile devant l’autorité compétente et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Selon l'art. 212 al. 3 CPP, la détention provisoire et la détention pour des motifs de sûreté ne doivent pas durer plus longtemps que la peine privative de liberté prévisible.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L'intensité des charges propres à motiver un maintien en détention préventive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 e éd., Zurich 2006, n. 845; Schmocker, op. cit., n. 8 ad art. 221 CPP, p. 1025; Forster, in : Niggli/Heer/Wiprächtiger [éd.], Basler Kommentar, Schweizerische Strafprozessordnung, 2011, n. 3 ad art. 221 CPP, pp. 1459 s.).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ATF 124 I 208 c. 3; ATF 116 Ia 413 c. 3c; TF 1B_423/2010 du 17 janvier 2011 c. 4.1; TF 1B_410/2010 du 23 décembre 2010 c. 4.1; Forster, op. cit., n. 3 ad art. 221 CPP, pp. 1459 s.). b) En l’espèce, contrairement à ce que le recourant soutient, les éléments du dossier montrent dès le début de l’enquête qu’il existe des présomptions suffisantes de culpabilité à sa charge. Aucun élément nouveau n’est de surcroît venu alléger les charges qui pèsent sur lui. En outre, ses explications (cf. procès-verbal d’audition du 13 avril 2013) quant aux raisons de sa présence en Suisse – visite à un cousin qui fait du commerce de voitures – et dans l’appartement dans lequel ont notamment été saisis environ 180 grammes de cocaïne – une connaissance l’a invité à prendre une douche chez lui – ainsi que sur la somme d’argent retrouvée dans son rectum – argent provenant de la vente de la part de son cousin d’une voiture et d’objets d’occasion au Nigéria, qu’il a caché pour ne pas le perdre – paraissent totalement fantaisistes. Il est donc incontestable qu’il existe à ce stade de l’enquête des soupçons sérieux de culpabilité concernant U.________.</w:t>
      </w:r>
    </w:p>
    <w:p>
      <w:r>
        <w:rPr>
          <w:b/>
        </w:rPr>
        <w:t>E. 3</w:t>
      </w:r>
    </w:p>
    <w:p>
      <w:r>
        <w:t>ans, pour infraction à la Loi fédérale sur les stupéfiants, pour avoir avoir transporté dans son corps 26,5 grammes de cocaïne. Cela n’a toutefois vraisemblablement pas dissuadé le recourant de continuer d’œuvrer dans le trafic de stupéfiants. Il y a dès lors lieu de craindre qu’il ne recommence ses activités délictueuses aussitôt élargi.</w:t>
      </w:r>
    </w:p>
    <w:p>
      <w:r>
        <w:rPr>
          <w:b/>
        </w:rPr>
        <w:t>E. 3.1</w:t>
      </w:r>
    </w:p>
    <w:p>
      <w:r>
        <w:t>et les références citées). b) Dans son ordonnance du 15 avril 2013, le Tribunal des mesures de contrainte avait constaté l’existence d’un risque de fuite dès lors que U.________ n’était que de passage en Suisse. A ce jour, rien ne permet de remettre en cause ces constatations et de conclure qu’un risque de fuite n’est plus avéré. Les conditions légales étant alternatives, et non cumulatives, point n’est besoin d’examiner les autres motifs légaux de la détention provisoire (TF 1B_249/2011 du 7 juin 2011 c. 2.4; Forster, op. cit., n. 4 ad art. 221 CPP, p. 1460). Il y a cependant lieu de relever, par surabondance, qu’un risque de réitération selon l’art. 221 al. 1 let. c CPP est également avéré. Le recourant a en effet déjà été condamné par le Ministère public du canton de Neuchâtel, le 16 janvier 2013, à une peine pécuniaire de nonante jours-amende à 10 fr. le jour-amende, avec sursis pendant</w:t>
      </w:r>
    </w:p>
    <w:p>
      <w:r>
        <w:rPr>
          <w:b/>
        </w:rPr>
        <w:t>E. 4</w:t>
      </w:r>
    </w:p>
    <w:p>
      <w:r>
        <w:t>a) Le recourant se plaint en outre d’une violation du principe de la proportionnalité eu égard au rapport de la durée de la détention déjà subie, respectivement à subir jusqu’au 11 avril 2014, et la quotité de la peine privative de liberté dont il paraît passible. b) Selon la jurisprudence du Tribunal fédéral, il est possible de prolonger la détention provisoire de six mois dans des cas exceptionnels, notamment lorsqu’il est prévisible que le motif de détention existera toujours trois mois plus tard. Le Tribunal fédéral a ainsi admis l’existence d’un cas exceptionnel dans une affaire complexe et volumineuse, impliquant quatre participants, où il était clair que le motif de détention (risque de réitération) ne disparaîtrait pas dans les trois mois (TF 1B_249/2013 du 12 août 2013 et les références citées au c. 8.1). c) A l’heure actuelle, la présente procédure est dirigée contre quinze trafiquants de cocaïne présumés, dont douze se trouvent en détention provisoire. Les investigations policières ont permis de mettre en évidence que ce réseau de trafiquants était ravitaillé par des fournisseurs basés à l’étranger, principalement en Espagne. Il est évident qu’il s’agit en l’espèce d’une procédure vaste et complexe ; les mesures d’enquête entreprises ou à mettre en œuvre, dont un certain nombre devra être exécuté par le biais de l’entraide judiciaire internationale, ne seront pas terminées d’ici au 8 janvier 2014. Il est également clair que, s’agissant de U.________, les risques de fuite et de réitération ne vont pas s’éteindre d’ici au 11 avril 2014. Cela étant, les conditions de l’art. 227 al. 7 CPP sont respectées et la prolongation exceptionnelle de la détention provisoire pour une durée de six mois doit être acceptée. Le 11 avril 2014, U.________ aura ainsi exécuté une année de détention provisoire. Au vu de la peine encourue, soit une peine privative de liberté d’un an au moins conformément à l’art. 19 al. 2 LStup (Loi fédérale sur les stupéfiants et les substances psychotropes du 3 octobre 1951 ; RS 812.121), le principe de la proportionnalité sera, à la date précitée, toujours respecté.</w:t>
      </w:r>
    </w:p>
    <w:p>
      <w:r>
        <w:rPr>
          <w:b/>
        </w:rPr>
        <w:t>E. 5</w:t>
      </w:r>
    </w:p>
    <w:p>
      <w:r>
        <w:t>Il résulte de ce qui précède que c’est à juste titre que le Tribunal des mesures de contrainte a estimé que les conditions d’une prolongation exceptionnelle de la détention provisoire du recourant étaient réunies en l’état. Au surplus, le terme prévu au 11 avril 2014 ne prête pas le flanc à la critique, au vu de l’état et de l’ampleur des mesures d’instruction mises en œuvre. Le recourant reste libre de présenter en tout temps une demande de mise en liberté au Ministère public (art. 228 al. 1 CPP). Partant, le recours, manifestement mal fondé, doit être rejeté sans autres échanges d’écritures (art. 390 al. 2 CPP). Les frais de la procédure de recours, constitués en l’espèce de l’émolument d’arrêt, par 880 fr. (art. 20 al. 1 TFJP [tarif des frais judiciaires pénaux ; RSV 312.03.1]), et des frais imputables à la défense d’office (art. 422 al. 1 et al. 2 let. a CPP), fixés à 540 fr., plus la TVA de 43 fr. 20, soit un total de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7 octobre 2013 est confirmée. III. L’indemnité allouée au défenseur d’office de U.________ est fixée à 583 fr. 20 (cinq cent huitante-trois francs et vingt centimes). IV. L’émolument d’arrêt, par 880 fr. (huit cent huitante francs), ainsi que l’indemnité due au défenseur d’office du recourant, par 583 fr. 20 (cinq cent huitante-trois francs et vingt centimes), sont mis à la charge de U.________. V. Le remboursement à l’Etat de l’indemnité allouée au chiffre III ci-dessus sera exigible pour autant que la situation économique de U.________ se soit améliorée. VI. Le présent arrêt est exécutoire. Le président :               La greffière : Du L'arrêt qui précède, dont la rédaction a été approuvée à huis clos, est notifié, par l'envoi d'une copie complète, à : - Mme Annik Nicod, avocate (pour U.________),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