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854 vom 15. Oktober 2013</w:t>
      </w:r>
    </w:p>
    <w:p>
      <w:r>
        <w:t>VD Tribunal cantonal, 2013-10-15, FR</w:t>
      </w:r>
    </w:p>
    <w:p>
      <w:r>
        <w:rPr>
          <w:b/>
        </w:rPr>
        <w:t xml:space="preserve">Quelle: </w:t>
      </w:r>
      <w:r>
        <w:t>https://mcp.opencaselaw.ch/entscheid/vd_findinfo_D_cision___2013___854</w:t>
      </w:r>
    </w:p>
    <w:p>
      <w:r>
        <w:t>FR: VD_FINDINFO Décision / 2013 / 854 du 15 octobre 2013</w:t>
      </w:r>
    </w:p>
    <w:p>
      <w:r>
        <w:t>IT: VD_FINDINFO Décision / 2013 / 854 del 15 ottobre 2013</w:t>
      </w:r>
    </w:p>
    <w:p>
      <w:pPr>
        <w:pStyle w:val="Heading2"/>
      </w:pPr>
      <w:r>
        <w:t>Regeste</w:t>
      </w:r>
    </w:p>
    <w:p>
      <w:r>
        <w:t>DÉTENTION PRÉVENTIVE, RISQUE DE RÉCIDIVE, PROPORTIONNALITÉ, SOUPÇON | 221 al. 1 let. c CPP (CH), 221 al. 2 CPP (CH), 222 CPP (CH)</w:t>
      </w:r>
    </w:p>
    <w:p>
      <w:pPr>
        <w:pStyle w:val="Heading2"/>
      </w:pPr>
      <w:r>
        <w:t>Volltext</w:t>
      </w:r>
    </w:p>
    <w:p>
      <w:r>
        <w:t>Vaud Tribunal cantonal Chambre des recours pénale 15.10.2013 Décision / 2013 / 854</w:t>
      </w:r>
    </w:p>
    <w:p>
      <w:r>
        <w:t>DÉTENTION PRÉVENTIVE, RISQUE DE RÉCIDIVE, PROPORTIONNALITÉ, SOUPÇON | 221 al. 1 let. c CPP (CH), 221 al. 2 CPP (CH), 222 CPP (CH)</w:t>
      </w:r>
    </w:p>
    <w:p>
      <w:r>
        <w:t>TRIBUNAL CANTONAL 595 PE13.013407-TDE CHAMBRE DES RECOURS PENALE __________________________________________ Séance du 15 octobre 2013 __________________ Présidence de               M. Krieger , président Juges :              MM. Abrecht et Perrot Greffière :              Mme Cattin ***** Art. 221 al. 1 let. c et al. 2, 222, 393 al. 1 let. c CPP La Chambre des recours pénale prend séance à huis clos pour statuer sur le recours interjeté par W.________ contre l’ordonnance de prolongation de la détention provisoire rendue le 27 septembre 2013 par le Tribunal des mesures de contrainte dans la cause n° PE13.013407-TDE . Elle considère : E n  f a i t : A. a) Le 4 juillet 2013, à la suite de la plainte déposée par S.________, le Ministère public de l’arrondissement de Lausanne a ouvert une instruction pénale contre W.________ pour voies de fait, lésions corporelles simples, injure, menaces, dommages à la propriété, contrainte sexuelle et viol. Le prévenu est mis en cause pour avoir frappé à diverses reprises, les 12 avril, 21 avril et 4 mai 2013, son amie F.________, née le 25 juillet 1996, fille de la plaignante. Le 20 juin 2013, il aurait de nouveau porté atteinte à l’intégrité physique de la jeune femme et l’aurait contrainte à subir l’acte sexuel ainsi qu’à lui prodiguer une fellation. En juin ou au début du mois de juillet 2013, il aurait menacé de mort la famille de la victime, pour le cas où celle-ci s’aviserait d’avorter. Il l’aurait traitée régulièrement de pute et l’aurait encore une fois giflée le 2 juillet 2013. Il est également reproché au prévenu d’avoir proféré des injures à l’endroit de D.________ le 4 mai 2013, à l’entrée d’une boîte de nuit, et d’avoir participé à des bagarres. b) Le prévenu a été appréhendé par la police le 6 juillet 2013. B. a) Par ordonnance du 9 juillet 2013, le Tribunal des mesures de contrainte a ordonné la détention provisoire de W.________ pour une durée de trois mois, soit au plus tard jusqu’au 6 octobre 2013. Sur recours de W.________, la Chambre des recours pénale a confirmé cette ordonnance par arrêt du 24 juillet 2013, admettant l'existence de charges suffisantes, ainsi que des risques de récidive et de passage à l’acte. b) Par ordonnance du 27 septembre 2013, le Tribunal des mesures de contrainte a ordonné la prolongation de la détention provisoire de W.________ pour une durée de trois mois, soit au plus tard jusqu’au 6 janvier 2014. C. Par acte du 10 octobre 2013, W.________ a interjeté recours contre l’ordonnance du 27 septembre 2013, en concluant à sa réforme en ce sens que sa mise en liberté avec effet immédiat soit ordonnée, subsidiairement à son annulation et au renvoi de la cause au Tribunal des mesures de contrainte pour nouvelle décision dans le sens des considérants.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 2. Le recourant conteste l’existence de soupçons suffisants à son encontre.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la Cour de céans se réfère à son arrêt du 23 juillet 2013, qui demeure d’actualité, pour admettre l’existence d’une présomption suffisamment sérieuse de culpabilité à l’encontre du recourant. 3. Le Tribunal des mesures de contrainte a retenu que le recourant présentait un risque de réitération ainsi qu’un risque de passage à l’acte. a)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CREP, 19 décembre 2011/550).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Le risque de récidive peut également se fonder sur les infractions faisant l'objet de la procédure pénale en cours, si le prévenu est fortement soupçonné de les avoir commises ( ATF 137 IV 84 c. 3.2 et les réf. citées; Schmocker, op. cit. , n. 18 ad art. 221 CPP ).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CREP 14 mai 2012/238). b) En l’espèce, la Cour de céans se réfère dans leur intégralité aux considérants qu'elle a développés dans son arrêt du 23 juillet 2013, qui conservent leur pertinence. Ce procédé est admissible au regard des exigences du droit d’être entendu (TF 1B_149/2010 du 1 er juin 2010 c. 1.3; CREP 23 octobre 2012/634). Elle relève au surplus que contrairement à ce que soutient le recourant, les auditions menées par le Procureur tendent à corroborer les accusations de la plaignante. En effet, le caractère violent du recourant ressort de la déposition de N.________, amie des protagonistes, qui a expliqué qu’elle « savait déjà qu’il la tapait », que F.________ « avait peur de lui » et qu’elle avait vu des marques de bleus sur le corps de cette dernière à plusieurs reprises (cf. PV aud. 15 pp. 3 et 7). En outre, le témoin V.________, ex-amie de F.________, a exposé que le prévenu lui avait demandé comment on pouvait dire « obliger quelqu’un à le faire », qu’elle lui avait répondu que cela se disait « viol » et qu’il avait souri. Il lui avait alors avoué « l’avoir fait » dans les escaliers à côté du foyer de F.________ (cf. PV aud. 14 p. 2). Au vu de ces éléments, il est toujours sérieusement à craindre qu’en cas de libération, W.________ porte à nouveau atteinte à l’intégrité physique et sexuelle de la plaignante, qui, on le rappelle, est mineure. En l’état, force est dès lors d’admettre que les risques de récidive et de passage à l’acte doivent toujours être considérés comme majeurs. Aucune mesure de substitution n’est susceptible de pallier ces risques. Enfin, il n’y a pas lieu d’examiner les risques de fuite et de collusion, dans la mesure où les conditions du maintien en détention provisoire sont réalisées par les risques de réitération et de passage à l’acte. 4. Le recourant invoque une violation du principe de proportionnalité.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W.________ est détenu depuis le 6 juillet 2013, soit depuis un peu plus de trois mois. Il est mis en cause pour voies de fait, lésions corporelles simples, injure, menaces, dommages à la propriété, contrainte sexuelle et viol. Compte tenu de la gravité des charges qui pèsent contre lui, la durée de la détention provisoire du recourant demeure encore proportionnée à la peine à laquelle il s'expose. Par conséquent, le principe de proportionnalité de la détention provisoire demeure respecté. 5.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W.________, qui succombe (art. 428 al. 1 CPP). Le remboursement à l’Etat de l’indemnité allouée au défenseur d’office de W.________ ne sera toutefois exigible que pour autant que la situation économique de ce dernier se soit améliorée (art. 135 al. 4 CPP). Par ces motifs, la Chambre des recours pénale, statuant à huis clos, prononce : I. Le recours est rejeté. II. L’ordonnance du 27 septembre 2013 est confirmée. III. L’indemnité allouée au défenseur d'office de W.________ est fixée à 583 fr. 20 (cinq cent huitante-trois francs et vingt centimes). IV. Les frais du présent arrêt, par 770 fr. (sept cent septante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se soit améliorée. VI. Le présent arrêt est exécutoire. Le président :               La greffière : Du L'arrêt qui précède, dont la rédaction a été approuvée à huis clos, est notifié, par l'envoi d'une copie complète, à : - M. Jeton Kryeziu, avocat (pour W.________),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