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853 vom 20. September 2013</w:t>
      </w:r>
    </w:p>
    <w:p>
      <w:r>
        <w:t>VD Tribunal cantonal, 2013-09-20, FR</w:t>
      </w:r>
    </w:p>
    <w:p>
      <w:r>
        <w:rPr>
          <w:b/>
        </w:rPr>
        <w:t xml:space="preserve">Quelle: </w:t>
      </w:r>
      <w:r>
        <w:t>https://mcp.opencaselaw.ch/entscheid/vd_findinfo_D_cision___2013___853</w:t>
      </w:r>
    </w:p>
    <w:p>
      <w:r>
        <w:t>FR: VD_FINDINFO Décision / 2013 / 853 du 20 septembre 2013</w:t>
      </w:r>
    </w:p>
    <w:p>
      <w:r>
        <w:t>IT: VD_FINDINFO Décision / 2013 / 853 del 20 settembre 2013</w:t>
      </w:r>
    </w:p>
    <w:p>
      <w:pPr>
        <w:pStyle w:val="Heading2"/>
      </w:pPr>
      <w:r>
        <w:t>Regeste</w:t>
      </w:r>
    </w:p>
    <w:p>
      <w:r>
        <w:t>NON-LIEU, ESCROQUERIE, ABUS DE CONFIANCE, TAXE SUR LA VALEUR AJOUTÉE | 11 CPP (CH), 310 CPP (CH)</w:t>
      </w:r>
    </w:p>
    <w:p>
      <w:pPr>
        <w:pStyle w:val="Heading2"/>
      </w:pPr>
      <w:r>
        <w:t>Erwägungen</w:t>
      </w:r>
    </w:p>
    <w:p>
      <w:r>
        <w:rPr>
          <w:b/>
        </w:rPr>
        <w:t>E. 1</w:t>
      </w:r>
    </w:p>
    <w:p>
      <w:r>
        <w:t>let. a CPP), par la partie plaignante qui a qualité pour recourir (art. 382 al. 1 CPP). Interjeté de surcroît dans les formes prescrites (art. 385 al. 1 CPP), le recours est recevable.</w:t>
      </w:r>
    </w:p>
    <w:p>
      <w:r>
        <w:rPr>
          <w:b/>
        </w:rPr>
        <w:t>E. 2</w:t>
      </w:r>
    </w:p>
    <w:p>
      <w:r>
        <w:t>a) Aux termes de l'art. 310 al. 1 let. b CPP, le ministère public rend immédiatement une ordonnance de non-entrée en matière s'il ressort de la dénonciation ou du rapport de police qu'il existe des empêchements de procéder. Parmi les empêchements définitifs de procéder, au sens de la disposition précitée, figurent les cas d'extinction de l'action publique, soit notamment la chose jugée (Cornu, in : Kuhn/Jeanneret [éd.], Commentaire romand, Code de procédure pénale suisse, Bâle 2011, n. 12 ad art. 310 CPP). 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dans ce cas, l'action pénale ne peut plus être engagée (Piquerez/ Macaluso, Procédure pénale suisse, 3 e éd., 2011, n. 580 et nn. 1573 s.; CREP 14 mars 2013/291 c. 2.1). Sous la note marginale «interdiction de la double poursuite», qui correspond à la locution latine ne bis in idem (Hottelier, in : Kuhn/Jeanneret [éd.], op. cit., n. 1 ad art. 11 CP), l’art. 11 al. 1 CPP dispose qu’aucune personne condamnée ou acquittée en Suisse par un jugement entré en force ne peut être poursuivie une nouvelle fois pour la même infraction. L’alinéa 2 de cette disposition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En effet, si une ordonnance de classement entrée en force équivaut à un acquittement (art. 320 al. 4 CPP), l’autorité de la chose jugée d’un classement est limitée parce que la décision ne repose pas sur un examen complet en fait et en droit. Autrement dit, le classement «équivaut à un acquittement», mais n’en possède pas les attributs (Roth, in : Kuhn/Jeanneret [éd.], op. cit., nn. 9 et 10 ad intro art. 319-323 CPP et les références citées; CREP 23 août 2011/351 c. 3a). b) En l’espèce, la plainte déposée par le recourant le 23 juillet 2013 rapporte pour l’essentiel les mêmes faits que ceux qui avaient été dénoncés par sa précédente plainte pénale, du 29 novembre 2012 (P. 6), laquelle avait donné lieu à l’ordonnance de non-entrée en matière du 5 décembre 2012 (P. 5), entrée en force de chose jugée faute d’avoir été contestée. Dans cette mesure, vu la non-entrée en matière précédemment décidée, l’interdiction de la double poursuite fait obstacle à l’ouverture d’une nouvelle enquête contre les mêmes personnes à raison des mêmes faits, comme a statué à juste titre le Procureur. c) Cela étant, la plainte à l’origine de la présente procédure comporte deux éléments nouveaux par rapport à la première, comme l’expose le recourant lui-même (recours, ch. 2, p. 5) dans les termes suivants : « (…). Depuis lors, B.________ a non seulement découvert que, malgré les précautions qu’il a prises, l’argent qu’il a versé à titre d’acompte a visiblement servi à autre chose qu’à acheter les marchandises qui lui avait été promises et à financer la continuation des travaux comme cela avait été convenu, mais également que la société [...] facturait la TVA alors qu’elle n’y serait pas assujettie. (…) ». Le premier élément, soit l’usage fait des deniers versés à titre d’acompte, ne saurait justifier la reprise de la procédure, respectivement l’ouverture d’une nouvelle procédure. En effet, il apparaît d’emblée insuffisant à démontrer une responsabilité pénale de S.________ ou de E.________. Bien plutôt, il relève des seules relations d’affaires entre parties au contrat d’entreprise, donc de la compétence du juge civil. En revanche, pour ce qui est du second élément, le recourant fait valoir le raisonnement suivant (recours, ch. 5, pp. 7-8) : « (...). S’agissant de la fraude en relation avec la TVA, il convient de distinguer. Soit [...] n’est véritablement pas soumise à la TVA, mais facture malgré tout 8 % de TVA à ses clients, et c’est l’infraction d’escroquerie qui devra être retenue – puisqu’elle trompe ses cocontractants en leur demandant de payer une taxe qu’ils n’auraient en réalité pas à payer et que ceux-ci n’ont aucune possibilité de contrôler le bien fondé de ce poste de la facture – soit [...] est soumise à la TVA, mais ne reverse pas les taxes prélevées à ses clients, et c’est l’infraction de soustraction de l’impôt (art. 96 LTVA), subsidiairement celle de violation d’obligations de procédure (art. 98 LTVA) qui doit être retenue. Toutefois, seule une instruction permettrait de déterminer de quelle(s) infraction(s) s’est rendu coupable [...], respectivement S.________ et E.________. (…) ». Cet argument est parfaitement fondé et le recours doit être admis sur ce point par pure et simple adoption de ses moyens. Il existe en effet à ce stade des soupçons suffisants laissant présumer qu'une infraction pénale aurait pu être commise (cf. art. 309 al. 1 let. a CPP).</w:t>
      </w:r>
    </w:p>
    <w:p>
      <w:r>
        <w:rPr>
          <w:b/>
        </w:rPr>
        <w:t>E. 3</w:t>
      </w:r>
    </w:p>
    <w:p>
      <w:r>
        <w:t>Il résulte de ce qui précède que le recours doit être admis partiellement, l’ordonnance de non-entrée en matière du 26 juillet 2013 étant annulée et la cause renvoyée au Ministère public de l'arrondissement du Nord vaudois pour qu’il ouvre une instruction sur la base des faits dénoncés par le plaignant. Le cas échéant, il appartiendra au Procureur d’examiner, s’il devait estimer que des infractions fiscales sont seules en cause, s’il y a lieu de décliner sa compétence (cf. art. 39 al. 1 CPP) en faveur des autorités administratives compétentes selon l’art. 103 LTVA pour poursuivre et juger de telles infractions en application de la DPA (loi fédérale sur le droit pénal administratif; RS 313.0). Vu la mesure dans laquelle le recourant obtient gain de cause, les frais d'arrêt, par 660 fr. (art. 20 al. 1 TFJP [tarif des frais judiciaires pénaux du 28 septembre 2010; RSV 312.03.1]), seront mis à hauteur de la moitié à sa charge et laissés à celle de l'Etat pour le solde (art. 428 al. 1 CPP).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statuant à huis clos, prononce : I. Le recours est partiellement admis. II. L'ordonnance de non-entrée en matière du 26 juillet 2013 est annulée et le dossier de la cause est renvoyé au Ministère public de l’arrondissement du Nord vaudois pour qu'il procède dans le sens des considérants du présent arrêt. III. Les frais d'arrêt, par 660 fr. (six cent soixante francs), sont mis à hauteur de la moitié, soit 330 fr. (trois cent trente francs) à la charge du recourant et sont laissés à la charge de l'Etat pour le solde. IV. Le présent arrêt est exécutoire. Le président :               Le greffier : Du L'arrêt qui précède, dont la rédaction a été approuvée à huis clos, est notifié, par l'envoi d'une copie complète, à : - M. Alain Vuithier, avocat (pour B.________),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