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850 vom 11. Oktober 2013</w:t>
      </w:r>
    </w:p>
    <w:p>
      <w:r>
        <w:t>VD Tribunal cantonal, 2013-10-11, FR</w:t>
      </w:r>
    </w:p>
    <w:p>
      <w:r>
        <w:rPr>
          <w:b/>
        </w:rPr>
        <w:t xml:space="preserve">Quelle: </w:t>
      </w:r>
      <w:r>
        <w:t>https://mcp.opencaselaw.ch/entscheid/vd_findinfo_D_cision___2013___850</w:t>
      </w:r>
    </w:p>
    <w:p>
      <w:r>
        <w:t>FR: VD_FINDINFO Décision / 2013 / 850 du 11 octobre 2013</w:t>
      </w:r>
    </w:p>
    <w:p>
      <w:r>
        <w:t>IT: VD_FINDINFO Décision / 2013 / 850 del 11 ottobre 2013</w:t>
      </w:r>
    </w:p>
    <w:p>
      <w:pPr>
        <w:pStyle w:val="Heading2"/>
      </w:pPr>
      <w:r>
        <w:t>Regeste</w:t>
      </w:r>
    </w:p>
    <w:p>
      <w:r>
        <w:t>DÉTENTION PRÉVENTIVE, RISQUE DE RÉCIDIVE | 221 al. 1 let. c CPP (CH), 393 CPP (CH)</w:t>
      </w:r>
    </w:p>
    <w:p>
      <w:pPr>
        <w:pStyle w:val="Heading2"/>
      </w:pPr>
      <w:r>
        <w:t>Erwägungen</w:t>
      </w:r>
    </w:p>
    <w:p>
      <w:r>
        <w:rPr>
          <w:b/>
        </w:rPr>
        <w:t>E. 1</w:t>
      </w:r>
    </w:p>
    <w:p>
      <w:r>
        <w:t>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et satisfait aux conditions de forme posées par l’art. 385 al. 1 CPP.</w:t>
      </w:r>
    </w:p>
    <w:p>
      <w:r>
        <w:rPr>
          <w:b/>
        </w:rPr>
        <w:t>E. 2</w:t>
      </w:r>
    </w:p>
    <w:p>
      <w:r>
        <w:t>A.S.________ conteste d’abord l’existence de présomptions suffisantes de culpabilité.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b) En l’espèce, le prévenu admet avoir entretenu des relations sexuelles consentantes avec son épouse le jour des faits, mais conteste toute violence et infraction pénale. Il n’en reste pas moins que l’examen gynécologique effectué sur B.S.________ fait état d’égratignures vaginales et anales, lesquelles sont compatibles, à ce stade de l’enquête, avec la version des faits de cette dernière. Il ressort également du dossier que le prévenu a été vu à quatre reprises aux abords du domicile de son épouse après les faits, ce qui a entraîné un signalement du véhicule qu’il conduisait (cf. rapport de police du 27 septembre 2013). A.S.________ souffre en outre de troubles bipolaires, maladie pour laquelle il suit un traitement médicamenteux (Seroquel) et est pris en charge par un psychiatre. Le recourant seraient de surcroît particulièrement jaloux. Lors de ses auditions, il a enfin admis que le jour des faits, il a surveillé la plaignante avant de se rendre à son domicile et a ensuite passé une heure et demie dans un parking en face du neveu de la plaignante après les faits qui lui sont reprochés. La plaignante fait en outre état de violences conjugales depuis des années, avec une montée dans la violence de son époux depuis le début du mois de septembre 2013. Au vu de l’ensemble des éléments susmentionnés, il existe contre le recourant des présomptions de culpabilité suffisantes.</w:t>
      </w:r>
    </w:p>
    <w:p>
      <w:r>
        <w:rPr>
          <w:b/>
        </w:rPr>
        <w:t>E. 3</w:t>
      </w:r>
    </w:p>
    <w:p>
      <w:r>
        <w:t>Le Tribunal des mesures de contrainte a retenu que le recourant présentait un risque de collusion. a) Le risque de collusion existe notamment lorsqu’il est à craindre que l’intéressé ne mette sa liberté à profit, notamment pour prendre contact avec des témoins ou d’autres prévenus pour tenter d’influencer leurs déclarations (TF 1B_55/2010 du 11 mars 2010 c. 3.1). Le risque de collusion doit être étayé par des faits concrets et précis ; la simple possibilité théorique que le prévenu se livre à des manœuvres destinées à compromettre la recherche de la vérité ne suffit pas (ATF 132 I 21 c. 3.2 ; Schmocker, op. cit., n. 16 ad art. 221 CPP). Dans ce contexte, il faudra s’intéresser tout particulièrement au comportement du prévenu durant la procédure (déclarations, coopération, tendance à la manipulation, etc.), à ses caractéristiques personnelles (réputation, sanctions précédentes, etc.), à son rôle dans l’infraction, ainsi qu’à ses liens personnels avec les personnes qui le chargent; l’importance et le caractère des déclarations et des moyens de preuves susceptibles d’être altérés doit également être prise en considération, de même que la gravité de l’infraction et le stade de la procédure auquel on se trouve (ATF 132 I 21 c. 3.2.1, et les références citées). b) En l’occurrence, le risque de collusion a été invoqué en rapport avec l’audition en qualité de témoin du neveu de B.S.________. Ce dernier a en effet été contacté par la victime après les faits et aurait constaté que le prévenu rôdait en ville pour espionner son épouse le jour des faits. Ce témoin ayant été entendu le jour même du prononcé du Tribunal des mesures de contrainte du 29 septembre 2013, par lequel celui-ci a ordonné la mise en détention provisoire du prévenu, cet argument n’est plus pertinent et doit être écarté. Partant, le risque de collusion n’est pas réalisé.</w:t>
      </w:r>
    </w:p>
    <w:p>
      <w:r>
        <w:rPr>
          <w:b/>
        </w:rPr>
        <w:t>E. 4</w:t>
      </w:r>
    </w:p>
    <w:p>
      <w:r>
        <w:t>Dans son prononcé, le Tribunal des mesures de contrainte a ensuite retenu le risque de réitération. a)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En l’espèce, les motifs soulevés par le Tribunal des mesures de contrainte s’agissant du risque de réitération sont pertinents. Il ressort en effet du dossier que le prévenu souffre d’un état psychique fragile et qu’une escalade est apparue dans la gravité des infractions commises à l’encontre de son épouse, laquelle a dénoncé avoir été victime de maltraitances pendant plusieurs années. Ces éléments font apparaître un risque de récidive suffisamment concret pour justifier la détention provisoire du recourant. Enfin, à ce stade de l’enquête et avant que les conclusions de l’expertise psychiatrique ordonnée ne soient connues, aucune des mesures de substitution proposées par le prévenu (interdiction de contact avec son épouse et obligation de se rendre une fois par semaine chez son psychiatre) n’apparaît propre à parer efficacement le risque de récidive.</w:t>
      </w:r>
    </w:p>
    <w:p>
      <w:r>
        <w:rPr>
          <w:b/>
        </w:rPr>
        <w:t>E. 5</w:t>
      </w:r>
    </w:p>
    <w:p>
      <w:r>
        <w:t>a)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A.S.________ est détenu depuis le 27 septembre 2013, soit depuis deux semaines. Compte tenu des actes qui lui sont reprochés, le recourant s’expose à une peine privative de liberté d’une durée manifestement supérieure à celle de la détention provisoire subie à ce jour. Au vu de ces éléments, la détention provisoire ordonnée par le premier juge respecte le principe de la proportionnalité.</w:t>
      </w:r>
    </w:p>
    <w:p>
      <w:r>
        <w:rPr>
          <w:b/>
        </w:rPr>
        <w:t>E. 6</w:t>
      </w:r>
    </w:p>
    <w:p>
      <w:r>
        <w:t>En définitive, le recours, manifestement mal fondé, doit être rejeté sans autre échange d’écritures (art. 390 al. 2 CPP) et l’ordonnance attaquée confirmée. Les frais de la procédure de recours, constitués en l’espèce de l’émolument d'arrêt, par 880 fr. (art. 20 al. 1 TFJP [tarif des frais judiciaires pénaux;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du 29 septembre 2013 est confirmée. III. L'indemnité allouée au défenseur d'office de A.S.________ est fixée à 583 fr. 20 (cinq cent huitante trois francs et vingt centimes). IV. L’émolument d’arrêt, par 880 fr. (huit cent huitante francs), ainsi que l’indemnité due au défenseur d’office du recourant, par 583 fr. 20 (cinq cent huitante-trois francs et vingt centimes), sont mis à la charge de A.S.________. V. Le remboursement à l’Etat de l’indemnité allouée au chiffre III ci-dessus sera exigible pour autant que la situation économique de A.S.________ se soit améliorée. VI. Le présent arrêt est exécutoire. Le président :               La greffière : Du L'arrêt qui précède, dont la rédaction a été approuvée à huis clos, est notifié, par l'envoi d'une copie complète, à : - M. Paul-Arthur Treyvaud, avocat (pour A.S.________), - Ministère public central, et communiqué à : - Mme la Présidente du Tribunal des mesures de contrainte, - M. le Procureur de l’arrondissement du Nord vaudois, - Mme B.S.________,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