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840 vom 26. Juli 2013</w:t>
      </w:r>
    </w:p>
    <w:p>
      <w:r>
        <w:t>VD Tribunal cantonal, 2013-07-26, FR</w:t>
      </w:r>
    </w:p>
    <w:p>
      <w:r>
        <w:rPr>
          <w:b/>
        </w:rPr>
        <w:t xml:space="preserve">Quelle: </w:t>
      </w:r>
      <w:r>
        <w:t>https://mcp.opencaselaw.ch/entscheid/vd_findinfo_D_cision___2013___840</w:t>
      </w:r>
    </w:p>
    <w:p>
      <w:r>
        <w:t>FR: VD_FINDINFO Décision / 2013 / 840 du 26 juillet 2013</w:t>
      </w:r>
    </w:p>
    <w:p>
      <w:r>
        <w:t>IT: VD_FINDINFO Décision / 2013 / 840 del 26 luglio 2013</w:t>
      </w:r>
    </w:p>
    <w:p>
      <w:pPr>
        <w:pStyle w:val="Heading2"/>
      </w:pPr>
      <w:r>
        <w:t>Regeste</w:t>
      </w:r>
    </w:p>
    <w:p>
      <w:r>
        <w:t>MISE EN DANGER DE LA VIE D'AUTRUI{ART. 129 CP}, TABAGISME PASSIF | 122 CP, 123 CP, 129 CP, 393 al. 1 let. a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Conformément à l'art. 310 let. a CPP, le procureur rend immédiatement, c'est-à-dire sans qu'une instruction soit ouverte,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3</w:t>
      </w:r>
    </w:p>
    <w:p>
      <w:r>
        <w:t>L’ordonnance de non-entrée en matière qui examine les conditions de réalisation de l’infraction de mise en danger de la vie d’autrui (art. 129 CP) ainsi que des dispositions pénales de la Loi sur l’interdiction de fumer dans les lieux publics est bien fondée et échappe à la critique.</w:t>
      </w:r>
    </w:p>
    <w:p>
      <w:r>
        <w:rPr>
          <w:b/>
        </w:rPr>
        <w:t>E. 4</w:t>
      </w:r>
    </w:p>
    <w:p>
      <w:r>
        <w:t>a) X.________ fait cependant grief au procureur d’avoir conclu à tort qu’il dénonçait une « mise en danger de la vie autrui » et, par conséquent, une infraction à l’art. 129 CP, alors que dans sa plainte, il n’avait dénoncé qu’une atteinte grave à sa santé et à celle de son épouse basée sur l’exposition répétée à la fumée passive. Le recourant soutient aussi que les faits qu’il dénonce sont constitutifs de voies de fait, voire même de lésions corporelles. b) Les art. 122 ss CP (Code pénal suisse du 21 décembre 1937 ; RS 311.0) protègent l’intégrité corporelle et la santé, tant physique que psychique. La référence à l’intégrité corporelle renvoie à la protection contre les atteintes résultant de blessures (fractures, coupures, mutilations, lésions internes, hématomes, etc.), tandis que la notion de santé se rapporte aux atteintes liées à la création ou à l’aggravation d’un état maladif, voire au fait d’en retarder la guérison, qu’il s’agisse d’une pathologie physique ou mentale (Dupuis et alii, Petit commentaire, Code pénal, Bâle 2012, n. 3 et 4 ad Remarques préliminaires aux articles 122 à 126 CP, et les références citées). aa) Selon l'art. 122 CP, se rend coupable de lésions corporelles graves celui qui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Le troisième alinéa de cette disposition, qui est conçu comme une clause générale, embrasse les lésions du corps humain ou les maladies qui, sans être comprises dans les hypothèses précitées, revêtent une importance comparable et qui doivent être qualifiées de graves dans la mesure où elles impliquent plusieurs mois d'hospitalisation, de longues et graves souffrances ou de nombreux mois d'arrêt de travail (ATF 124 IV 53 c. 2; Trechsel, Schweizerisches Strafgesetzbuch – Praxiskommentar, Zurich/St-Gall 2008, n. 9 ad art. 122 CP). bb)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et les arrêts cités). cc)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 1.2 et les arrêts cités). c) In casu, le recourant n’a pas établi avoir subi ou subir une atteinte concrète à son intégrité physique ou à sa santé et s’est limité à constater que le comportement de N.________ provoquait des nuisances considérables à sa santé et à celle de son épouse en citant des études scientifiques à l’appui de ses déclarations. Bien que la fumée produite par N.________ lorsqu’elle consomme ses cigarettes à l’extérieur du bâtiment en question provoque des désagréments évidents au recourant, et sans nier les effets sur la santé d’une exposition répétée à la fumée passive, X.________ n’est pas suffisamment exposé à cette dernière pour qu’une atteinte à son intégrité physique ou à sa santé puisse être considérée comme réalisée en l’état. Ainsi, aucune atteinte concrète à l’intégrité physique ou à la santé du recourant n’a été constatée en l’espèce. Partant, aucun des articles précités ne trouve application s’agissant des faits dénoncés par X.________.</w:t>
      </w:r>
    </w:p>
    <w:p>
      <w:r>
        <w:rPr>
          <w:b/>
        </w:rPr>
        <w:t>E. 5</w:t>
      </w:r>
    </w:p>
    <w:p>
      <w:r>
        <w:t>Au vu de l’ensemble des considérants qui précèdent, il y a lieu de conclure que le comportement reproché à N.________ ne réunit manifestement les éléments constitutifs d’aucune infraction réprimée par le Code pénal suisse.</w:t>
      </w:r>
    </w:p>
    <w:p>
      <w:r>
        <w:rPr>
          <w:b/>
        </w:rPr>
        <w:t>E. 6</w:t>
      </w:r>
    </w:p>
    <w:p>
      <w:r>
        <w:t>En définitive, le recours, manifestement mal fondé, doit être rejeté sans autre échange d’écritures (art. 390 al. 2 CPP) et l’ordonnance entreprise confirmée. Les frais de la procédure de recours, constitués en l’espèce du seul émolument d’arrêt, par 660 fr. (art. 20 al. 1 TFJP [tarif des frais judiciaires pénaux du 28 septembre 2010 ; RSV 312.03.1]), seront mis à la charge du recourant qui succombe (art. 428 al. 1 CPP). Le montant de 440 fr. déjà versé par X.________ à titre de sûretés sera imputé sur les frais mis à sa charge (cf. art. 383 al. 1 CPP). Par ces motifs, la Chambre des recours pénale, statuant à huis clos prononce : I. Le recours est rejeté. II. L’ordonnance du 26 juillet 2013 est confirmée. III. Les frais de la procédure de recours, par 660 fr. (six cent soixante francs), sont mis à la charge de X.________.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