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83 vom 12. September 2012</w:t>
      </w:r>
    </w:p>
    <w:p>
      <w:r>
        <w:t>VD Tribunal cantonal, 2012-09-12, FR</w:t>
      </w:r>
    </w:p>
    <w:p>
      <w:r>
        <w:rPr>
          <w:b/>
        </w:rPr>
        <w:t xml:space="preserve">Quelle: </w:t>
      </w:r>
      <w:r>
        <w:t>https://mcp.opencaselaw.ch/entscheid/vd_findinfo_D_cision___2013___83</w:t>
      </w:r>
    </w:p>
    <w:p>
      <w:r>
        <w:t>FR: VD_FINDINFO Décision / 2013 / 83 du 12 septembre 2012</w:t>
      </w:r>
    </w:p>
    <w:p>
      <w:r>
        <w:t>IT: VD_FINDINFO Décision / 2013 / 83 del 12 settembre 2012</w:t>
      </w:r>
    </w:p>
    <w:p>
      <w:pPr>
        <w:pStyle w:val="Heading2"/>
      </w:pPr>
      <w:r>
        <w:t>Regeste</w:t>
      </w:r>
    </w:p>
    <w:p>
      <w:r>
        <w:t>FIXATION DE LA PEINE, CONSTATATION DES FAITS, PRÉSOMPTION D'INNOCENCE | 123 CP, 126 CP, 180 CP, 181 CP, 190 CP, 22 ad 190 CP, 285 CP</w:t>
      </w:r>
    </w:p>
    <w:p>
      <w:pPr>
        <w:pStyle w:val="Heading2"/>
      </w:pPr>
      <w:r>
        <w:t>Erwägungen</w:t>
      </w:r>
    </w:p>
    <w:p>
      <w:r>
        <w:rPr>
          <w:b/>
        </w:rPr>
        <w:t>E. 1.1</w:t>
      </w:r>
    </w:p>
    <w:p>
      <w:r>
        <w:t>Interjeté dans les formes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L'appelant a conclu à sa libération des accusations d'injure, de viol et de tentative de viol. Il n'y a donc pas lieu d'examiner les infractions de lésions corporelles simples qualifiées, de voies de fait qualifiées, de menaces qualifiée, de contrainte et de menace contre les autorités et les fonctionnaires. Il requiert également que la peine infligée par les premiers juges soit réduite. Il ne conteste en revanche pas les points V à XII du dispositif.</w:t>
      </w:r>
    </w:p>
    <w:p>
      <w:r>
        <w:rPr>
          <w:b/>
        </w:rPr>
        <w:t>E. 3</w:t>
      </w:r>
    </w:p>
    <w:p>
      <w:r>
        <w:t>A.B.________ conteste s'être rendu coupable de viol. Il soutient n'avoir pas intentionnellement exercé de contrainte sur son épouse. Il n'aurait pas eu conscience du fait que sa femme ne souhaitait pas de relations sexuelles. Il fait valoir que les faits retenus ne sont pas suffisamment détaillés pour que la contrainte soit caractérisée. Il rappelle qu'il a entretenu de nombreux rapports consentis avec son épouse au fil des ans et qu'on ne peut sans autre détail considérer que dans ce nombre il y a eu trois rapports imposés par la contrainte.</w:t>
      </w:r>
    </w:p>
    <w:p>
      <w:r>
        <w:rPr>
          <w:b/>
        </w:rPr>
        <w:t>E. 3.1</w:t>
      </w:r>
    </w:p>
    <w:p>
      <w:r>
        <w:t>Aux termes de l'art. 190 CP, se rend coupable de viol celui qui notamment en usant de menace ou de violence, en exerçant sur sa victime des pressions d'ordre psychique ou en la mettant hors d'état de résister, aura contraint une personne de sexe féminin à subir l'acte sexuel (al. 1).</w:t>
      </w:r>
    </w:p>
    <w:p>
      <w:r>
        <w:rPr>
          <w:b/>
        </w:rPr>
        <w:t>E. 3.2</w:t>
      </w:r>
    </w:p>
    <w:p>
      <w:r>
        <w:t>Le crime réprimé par l'art. 190 CP (comme celui sanctionné par l'art. 189 CP) est une infraction de violence, qui suppose, en règle générale, une agression physique. La violence désigne l'emploi volontaire de la force physique sur la personne de la victime dans le but de la faire céder (ATF 122 IV 97 c. 2b; TF 6B_267/2007 du 3 décembre 2007 c. 6.3; TF 6S.688/1997 du 17 décembre 1997 c. 2b, cité in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 1.2; TF 6S.126/2007 du</w:t>
      </w:r>
    </w:p>
    <w:p>
      <w:r>
        <w:rPr>
          <w:b/>
        </w:rPr>
        <w:t>E. 3.3</w:t>
      </w:r>
    </w:p>
    <w:p>
      <w:r>
        <w:t>L'infraction de viol est intentionnelle. Comme dans le cas de la contrainte sexuelle,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w:t>
      </w:r>
    </w:p>
    <w:p>
      <w:r>
        <w:rPr>
          <w:b/>
        </w:rPr>
        <w:t>E. 3.4</w:t>
      </w:r>
    </w:p>
    <w:p>
      <w:r>
        <w:t>En l'espèce, les premiers juges se sont fondés sur les déclarations de la victime pour retenir implicitement un climat de psycho-terreur permanent. Ils ont rappelé les déclarations faites en cours d’enquête par la plaignante, selon lesquelles elle cédait pour que son mari ne se fâche pas. Ils ont également retenu que le prévenu avait de la peine à se souvenir de ce qu’il faisait quand il buvait et sombrait dans la violence, qu’il avait admis avoir des besoins sexuels très forts. Ils se sont dit convaincus qu'à au moins trois reprises avant le 20 mars 2011, le prévenu, frustré et éméché, n’avait pas voulu comprendre les réticences de sa femme, qu’il s’était comporté en parfait égoïste, sans se préoccuper de l’avis de sa victime dont il pouvait pourtant se douter qu’elle n’allait pas partager ses envies alors qu’il se montrait si souvent violent. Ils ont estimé que son attitude de matamore était amplement suffisante pour que sa femme préfère subir l’acte sexuel auquel elle n’avait pas consenti plutôt que de subir les représailles à venir. La motivation des premiers juges ne peut pas être suivie sur ce point. Le dossier ne contient pas d'éléments suffisants permettant de retenir un climat de terreur psychologique permanent. Il est admis que A.B.________ a un comportement violent et profère des menaces, lorsqu'il est sous l'influence de l'alcool. Toutefois, cet élément n'est pas suffisant pour retenir que le prévenu est un tyran domestique. Au contraire, les époux entretiennent une relation fusionnelle (P. 86/5). L'instruction aux débats d'appel a démontré que la plaignante était toujours attachée à son époux, qu'elle a gardé des contacts avec lui, et qu'elle n'exclut pas définitivement une reprise de la vie commune. Leur fille entretient une relation chaleureuse avec son père. Par ailleurs, la plaignante ne se trouve ni dans une situation d'isolement social, ni dans un rapport de dépendance avec son mari. Si la plaignante avait peur que son mari se fâche, il n'est pas établi que celui-ci avait conscience de ses réticences et aurait, à une seule occasion, passé outre un refus exprimé par celle-ci. Le fait qu'elle craigne qu'il lui fasse la tête si elle refusait démontre plutôt que l’épouse pouvait refuser mais qu’elle préférait se plier aux envies de l’appelant plutôt que de subir sa mauvaise humeur. Sans détails concrets, il est difficile d’affirmer que le prévenu était conscient de l’état d’esprit de sa femme, notamment du fait qu’elle avait peur de ses réactions. Si les relations sexuelles étaient quotidiennes et consenties dans la quasi-totalité des cas, les déclarations de la plaignante, qui n’est au demeurant pas très sûre (« à mon souvenir »), sont insuffisantes pour caractériser une contrainte intentionnelle dans trois circonstances sur lesquelles peu, voire pas, de détails ont été donnés. On peut s’étonner que la plaignante n’ait pas cru bon de décrire ces trois autres épisodes lorsqu’elle a été interrogée à ce sujet en cours d’enquête; ce n'est que devant les premiers juges qu'elle a mentionné trois autres cas au cours desquels A.B.________ l'aurait forcée à l'acte sexuel. Il ne s'agit pas de douter des déclarations de la victime au sujet de ses réticences et de ses craintes. Il est fort possible et même vraisemblable que le prévenu ait perçu celles-ci. Les preuves d'une contrainte exercée délibérément sont toutefois insuffisantes. Par ailleurs, selon la plaignante, ces épisodes se sont passées « dès 2003 », lorsqu’elle est « allée au Foyer de Malley », c’est-à-dire en 2002 et en 2008 (cf. PV aud. 3, ll. 92 à 94). Or, avant le 1 er avril 2004, le viol entre conjoints mariés ou faisant ménage commun n'était poursuivi que sur plainte contrairement à aujourd'hui où il est poursuivi d'office (art. 190 CP; FF du 4 mars 2003 pp. 1750 ss). En vertu du principe de non-rétroactivité de la loi (art. 2 al. 1 CP), les actes s'étant produits avant 2004 ne peuvent plus faire l'objet d'une poursuite pénale. Ensuite, concernant le viol qui se serait produit en 2008, il faut rappeler que l'acte d'accusation se limite à la période d'août 2010 à mars 2011. En tout état de cause, ces faits ne peuvent pas être pris en compte. L’appelant doit dès lors être libéré du chef de prévention de viol. 4. L’appelant conteste sa condamnation pour tentative de viol s'agissant des événements du 20 mars 2011. Il fait valoir que le fait qu’il n’y a finalement pas eu de rapport sexuel serait la preuve qu’il n’avait pas la volonté de passer outre le refus de sa femme. Il estime que le seul fait de tirer sur les leggings de celle-ci ne serait pas constitutif d’une tentative de contrainte. 4.1 Selon l'art. 22 al. 1 CP, le juge peut atténuer la peine si l'exécution d'un crime ou d'un délit n'est pas poursuivie jusqu'à son terme ou que le résultat nécessaire à la consommation de l'infraction ne se produit pas ou ne pouvait pas se produire. 4.2 Se fondant sur les déclarations de la victime, les premiers juges ont retenu que l’intéressé avait bien l’intention de faire subir l’acte sexuel à son épouse malgré son désaccord et qu’il en avait commencé l’exécution en essayant de lui baisser son pantalon. En déposant plainte (P. 4), la victime a déclaré que « Après quelques instants, il m’a laissée tranquille. » Sa plainte ne visait au demeurant pas cet aspect des événements mais seulement les coups, la rubrique « violence sexuelle » du formulaire n'étant pas cochée. Au vu de ces déclarations, on peut effectivement s’interroger sur la volonté de l’appelant de passer outre le refus de son épouse. Il ne fait pas de doute qu’il voulait entretenir une relation sexuelle avec sa femme, malgré les dénégations maladroites proférées à ce sujet en première instance. Toutefois, après avoir réalisé que son épouse ne voulait pas de rapport sexuel, il a renoncé à son projet «après quelques instants », et a laissé la plaignante tranquille. Ainsi, au bénéfice du doute, il convient d'admettre en définitive que A.B.________, certes lourdement insistant, n'entendait exercer aucune contrainte. A.B.________ doit donc être libéré du chef d'accusation de tentative de viol. 5. A.B.________ conteste également s'être rendu coupable d'injure. Il fait valoir que le fait d'avoir lancé le contenu d'un verre de vin à son épouse est constitutif de voies de fait et non d'injure. 5.1 Selon l'art. 126 CP, se rend coupable de voies de fait celui qui se sera livré sur une personne à des voies de fait qui n'auront causé ni lésion corporelle, ni atteinte à la santé (al. 1). La poursuite aura lieu d'office si l'auteur a agi à réitérées reprises contre son conjoint durant le mariage ou dans l'année qui a suivi le divorce (al. 2 let. b). Les voies de fait selon l'art. 126 CP répriment les actions physiques sur le corps d'autrui qui excèdent ce qui est socialement toléré, sans causer pour autant de lésions au corps ou d'atteintes à la santé. Aux termes de l'art. 177 CP, se rend coupable d'injure celui qui, de toute autre manière, aura, par la parole, l'écriture, l'image, le geste ou par des voies de fait, attaqué autrui dans son honneur (al. 1). L'honneur que protège l'art. 177 CP est le sentiment et la réputation d'être une personne honnête et respectable, c'est-à-dire le droit de ne pas être méprisé en tant qu'être humain ou entité juridique (TF 6B_602/2009 du 29 septembre 2009 c. 2.2; ATF 128 IV 260 c. 3.1 non publié). L’injure peut prendre la forme de voies de fait. Sur ce point, l’intention de l’auteur au moment d'agir est déterminante. Ainsi, si l'auteur a souhaité s’attaquer à l’intégrité physique de la victime, l’art. 126 CP est applicable. Dans le cas où l’honneur de la victime était visé par l’auteur de l'atteinte, l’art. 177 CP trouve son application (Dupuis/Geller/Monnier/Moreillon/Piguet/Bettex/Stoll, Code Pénal, Petit Commentaire, Bâle 2012, n. 8 ad art. 177 CP). 5.2 En l’occurrence, l'intention du prévenu n'est pas clairement établie. Dans sa plainte, l’épouse du prévenu décrit ainsi la dispute qui est intervenue le 20 mars 2011 : « Alors que je me préparais pour sortir, il est arrivé avec son verre de vin rouge et me l’a versé dessus ». Après cela, son mari est revenu vers elle et lui a assené des coups. Aucune injure verbale n’a été proférée. Les autres actes reprochés au prévenu sont violents et non humiliants. Au moment de verser le verre de vin sur son épouse, le prévenu était en train de boire (cf. jugement entrepris, p. 5); ainsi, il paraît vraisemblable qu’il s’est agi d’un geste de colère plutôt que de mépris. Il convient par conséquent d'admettre, au bénéfice du doute, que l’appelant s’est rendu coupable de voies de fait et non d'injure, comme retenu par les premiers juges sans explication, et donc de le libérer de cette dernière infraction. L'appel doit donc être admis sur ce point également. 6. L’appelant estime excessive l’amende mise à sa charge. Il conclut également à la suppression de la peine pécuniaire et à la réduction de la quotité de la peine privative de liberté dès lors qu’il conteste certaines infractions.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6.2 En l'espèce, l’admission des moyens qui précèdent implique de réexaminer de façon globale la fixation de la peine, le prévenu étant libéré des accusations de viol, de tentative de viol et d’injure. Ainsi, A.B.________ est reconnu coupable de lésions corporelles simples qualifiées, voies de fait qualifiées, menaces qualifiées, contrainte et violence ou menaces contre les autorités et les fonctionnaires. 6.2.1 Le jugement du Tribunal correctionnel a précisé que la peine pécuniaire a été infligée pour sanctionner l’injure. Cette peine doit donc être supprimée. 6.2.2 La culpabilité de A.B.________ est importante mais allégée par une responsabilité pénale légèrement à moyennement diminuée. A charge, il convient de tenir compte du concours d'infractions. Ses antécédents judiciaires doivent également être pris en compte. A décharge, on retiendra que A.B.________ a présenté à plusieurs reprises des regrets qui paraissent sincères. Il s'est reconnu débiteur de 5'000 fr. à titre de réparation du tort moral causé à son épouse. En outre, depuis sa sortie de détention provisoire, A.B.________ s'est bien comporté. Il continue à se soumettre aux traitements qu'il suit volontairement. Ses problèmes d'alcool font l'objet d'une thérapie auprès du Dr G.________, chez lequel il se rend régulièrement, à raison d'une fois par mois. Le prévenu a poursuivi le programme de Vifa Jeunesse et Famille au-delà des exigences posées par le Tribunal des mesures de contrainte comme mesure de substitution à la détention provisoire. Il est en outre suivi à la consultation Maltraitance familiale aux Boréales. 6.2.3 Selon l'art. 106 al. 3 CP, le juge fixe l'amende ainsi que la peine privative de liberté de substitution en tenant compte de la situation de l'auteur afin que la peine corresponde à la faute commise. L'épisode du verre de vin versé sur la plaignante, requalifié en voies de fait, doit être sanctionné d'une amende. Il s’ajoute aux multiples violences de ce type exercées entre août 2010 et le 20 mars 2011. Au vu des infractions commises, de la réitération des actes et des antécédents de l'appelant, une amende de 1'000 fr. se justifie, bien que la situation financière de A.B.________ soit modeste. Une peine de substitution de dix jours de peine privative de liberté est également adéquate au vu du cas d'espèce. Contrairement à ce que semble soutenir l'appelant, la peine de substitution (art. 106 al. 2 CP) calculée sur un montant journalier plus élevé que celui qui pourrait être retenu pour une peine pécuniaire est une solution qui le favorise. 6.2.4 S'agissant de la peine privative de liberté, sa durée est en générale de six mois au moins et de 20 ans au plus (art. 40 CP). Ainsi, la peine privative de liberté de plus de six mois constitue le principe. Au vu des éléments qui précèdent, c'est à juste titre que l’appelant n'a pas contesté le choix du genre de peine. Une peine de 12 mois, telle que requise en appel, paraît propre à sanctionner les infractions – hors contraventions – commises par A.B.________ et tenir compte de sa situation personnelle. L'octroi du sursis n'est pas contesté et peut être confirmé.</w:t>
      </w:r>
    </w:p>
    <w:p>
      <w:r>
        <w:rPr>
          <w:b/>
        </w:rPr>
        <w:t>E. 7</w:t>
      </w:r>
    </w:p>
    <w:p>
      <w:r>
        <w:t>Vu l'issue de la cause, l'appel étant partiellement admis, les frais de la procédure d'appel doivent être laissés à la charge de l'Etat (art. 428 al. 1 CPP). Outre l'émolument, qui se monte à 2'570 fr. (art. 21 al. 1 et 2 TFJP [Tarif des frais judiciaires pénaux du 28 septembre 2010, RSV 312.03.1]), ces frais comprennent les indemnités allouées aux conseils d'office de A.B.________ et P.________. Au vu de la complexité de la cause, des opérations mentionnées dans la liste des opérations, il convient d'admettre que le défenseur d'office de l'appelant, Me Tiphanie Chappuis, a dû consacrer 11 heures et 25 minutes à l'exécution de son mandat. L'indemnité sera dès lors arrêtée à 2'053 fr. 80 et 50 fr. de débours, plus la TVA par 168 fr. 30, soit un total de 2'272 fr. 10, TVA et débours compris. Il convient également d'admettre que le conseil d'office de l'intimée, Me Matthieu Genillod, a dû consacrer 8 heures et 30 minutes à l'exécution de son mandat  Son indemnité sera dès lors arrêtée à 1'530 fr. et 13 fr. de débours, plus la TVA par 123 fr. 45, soit un total de 1'666 fr. 45,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