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828 vom 4. Oktober 2013</w:t>
      </w:r>
    </w:p>
    <w:p>
      <w:r>
        <w:t>VD Tribunal cantonal, 2013-10-04, FR</w:t>
      </w:r>
    </w:p>
    <w:p>
      <w:r>
        <w:rPr>
          <w:b/>
        </w:rPr>
        <w:t xml:space="preserve">Quelle: </w:t>
      </w:r>
      <w:r>
        <w:t>https://mcp.opencaselaw.ch/entscheid/vd_findinfo_D_cision___2013___828</w:t>
      </w:r>
    </w:p>
    <w:p>
      <w:r>
        <w:t>FR: VD_FINDINFO Décision / 2013 / 828 du 4 octobre 2013</w:t>
      </w:r>
    </w:p>
    <w:p>
      <w:r>
        <w:t>IT: VD_FINDINFO Décision / 2013 / 828 del 4 ottobre 2013</w:t>
      </w:r>
    </w:p>
    <w:p>
      <w:pPr>
        <w:pStyle w:val="Heading2"/>
      </w:pPr>
      <w:r>
        <w:t>Regeste</w:t>
      </w:r>
    </w:p>
    <w:p>
      <w:r>
        <w:t>RISQUE DE FUITE, RISQUE DE RÉCIDIVE | 221 CPP (CH), 222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c) En l’espèce, dans son recours, le recourant ne conteste à juste titre pas l’existence de présomptions suffisantes de culpabilité à son encontre. La décision attaquée se fondant sur les risques de récidive et de fuite, il convient d'examiner s'il existe de tels risques, ce que le recourant conteste.</w:t>
      </w:r>
    </w:p>
    <w:p>
      <w:r>
        <w:rPr>
          <w:b/>
        </w:rPr>
        <w:t>E. 3</w:t>
      </w:r>
    </w:p>
    <w:p>
      <w:r>
        <w:t>a) Le recourant conteste tout d’abord le risque de réitération en indiquant que les infractions commises, et donc celles à craindre, seraient « d’une gravité manifestement moyenne » et ne compromettraient pas sérieusement la sécurité d’autrui au sens de l’art. 221 al. 1 let. c CPP. b)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c) En l’espèce, le recourant, consommateur de stupéfiants, s’en est déjà pris à réitérées reprises à l’intégrité corporelle de tiers. En effet, il ressort du casier judiciaire suisse de J.________ qu’il a été condamné, le 23 février 2012, pour brigandage et contravention à Loi fédérale sur les stupéfiants, à une peine privative de liberté de six mois avec sursis pendant 3 ans ainsi qu’à une amende de 200 fr., et que dans le cadre de l’instruction qui a abouti à cette condamnation, il a effectué 76 jours de détention avant jugement. Dès lors, à l’instar du Procureur et du Tribunal des mesures de contrainte, la Chambre des recours pénale ne peut que constater que cette période de détention provisoire n’a pas dissuadé le recourant de commettre de nouvelles infractions. Force est au surplus de constater que le prévenu persiste, dans ses auditions, à contester pour une grande partie l’évidence des faits qui lui sont reprochés. Une telle attitude ne laisse pas augurer la moindre prise de conscience. A cela s’ajoute encore le fait que J.________ est dans une situation précaire. Dès lors, sans statut et sans la moindre perspective professionnelle, il y a tout lieu de craindre qu’il ne replonge dans la délinquance aussitôt élargi.</w:t>
      </w:r>
    </w:p>
    <w:p>
      <w:r>
        <w:rPr>
          <w:b/>
        </w:rPr>
        <w:t>E. 4</w:t>
      </w:r>
    </w:p>
    <w:p>
      <w:r>
        <w:t>a) Le recourant conteste également l’existence d’un risque de fuite.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c) En l'espèce, le prévenu est un ressortissant tunisien en situation irrégulière, sans profession, et sans aucune attache avec la Suisse. Compte tenu de ses antécédents et des charges qui pèsent sur lui, il existe un risque concret que J.________ tente de se soustraire aux poursuites pénales en cas de libération. Au vu de ces éléments, le risque de fuite apparaît non seulement possible, mais également probable (TF 1B_414/2011 du 5 septembre 2011 c. 3.1).</w:t>
      </w:r>
    </w:p>
    <w:p>
      <w:r>
        <w:rPr>
          <w:b/>
        </w:rPr>
        <w:t>E. 5</w:t>
      </w:r>
    </w:p>
    <w:p>
      <w:r>
        <w:t>a)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J.________ est détenu depuis le 20 septembre 2013, soit depuis moins de trois semaines. Compte tenu de ses antécédents et de l’ensemble des faits qui lui sont reprochés, il s'expose à une peine privative de liberté d’une durée supérieure à celle de la détention provisoire subie à ce jour. Au vu de ces éléments, le principe de proportionnalité des intérêts en présence demeure respecté, ce qui n’est au demeurant pas contesté.</w:t>
      </w:r>
    </w:p>
    <w:p>
      <w:r>
        <w:rPr>
          <w:b/>
        </w:rPr>
        <w:t>E. 6</w:t>
      </w:r>
    </w:p>
    <w:p>
      <w:r>
        <w:t>En définitive, le recours, manifestement mal fondé, doit être rejeté sans autre échange d’écritures (art. 390 al. 2 CPP) et l'ordonnance attaquée confirmée. Les frais de la procédure de recours, constitués en l’espèce de l’émolument d'arrêt, par 770 fr. (art. 20 al. 1 TFJP [tarif des frais judiciaires pénaux; RSV 312.03.1]),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J.________ est fixée à 388 fr. 80 (trois cent huitante-huit francs et huitante centimes). IV. Les frais d'arrêt, par 770 fr. (sept cent septante francs), ainsi que l'indemnité due au défenseur d'office de J.________, par 388 fr. 80 (trois cent huitante-huit francs et huitante centimes), sont mis à la charge de ce dernier. V. Le remboursement à l'Etat de l'indemnité allouée au chiffre III ci-dessus sera exigible pour autant que la situation économique de J.________ se soit améliorée. VI. Le présent arrêt est exécutoire. Le président :               La greffière : Du L'arrêt qui précède, dont la rédaction a été approuvée à huis clos, est notifié, par l'envoi d'une copie complète, à : - Me Jean-Pierre Bloch, avocat (pour J.________), - Ministère public central, et communiqué à : - Mme la Présidente du Tribunal des mesures de contrainte, - Madame la Procureure d’arrondissement itinérante,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