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811 vom 6. September 2013</w:t>
      </w:r>
    </w:p>
    <w:p>
      <w:r>
        <w:t>VD Tribunal cantonal, 2013-09-06, FR</w:t>
      </w:r>
    </w:p>
    <w:p>
      <w:r>
        <w:rPr>
          <w:b/>
        </w:rPr>
        <w:t xml:space="preserve">Quelle: </w:t>
      </w:r>
      <w:r>
        <w:t>https://mcp.opencaselaw.ch/entscheid/vd_findinfo_D_cision___2013___811</w:t>
      </w:r>
    </w:p>
    <w:p>
      <w:r>
        <w:t>FR: VD_FINDINFO Décision / 2013 / 811 du 6 septembre 2013</w:t>
      </w:r>
    </w:p>
    <w:p>
      <w:r>
        <w:t>IT: VD_FINDINFO Décision / 2013 / 811 del 6 settembre 2013</w:t>
      </w:r>
    </w:p>
    <w:p>
      <w:pPr>
        <w:pStyle w:val="Heading2"/>
      </w:pPr>
      <w:r>
        <w:t>Regeste</w:t>
      </w:r>
    </w:p>
    <w:p>
      <w:r>
        <w:t>CLASSEMENT DE LA PROCÉDURE, VIOLATION DE DOMICILE, CONCURRENCE DÉLOYALE, INSOUMISSION À UNE DÉCISION DE L'AUTORITÉ | 181 CP, 186 CP, 292 CP, 23 LCD, 5 LCD, 319 CPP (CH), 364 CPP (CH), 62 al. 1 CPP (CH)</w:t>
      </w:r>
    </w:p>
    <w:p>
      <w:pPr>
        <w:pStyle w:val="Heading2"/>
      </w:pPr>
      <w:r>
        <w:t>Erwägungen</w:t>
      </w:r>
    </w:p>
    <w:p>
      <w:r>
        <w:rPr>
          <w:b/>
        </w:rPr>
        <w:t>E. 1</w:t>
      </w:r>
    </w:p>
    <w:p>
      <w:r>
        <w:t>Interjeté en temps utile (art. 322 al. 2 et 396 al. 1 CPP) contre une ordonnance de classement du Ministère public (art. 319 CPP) par les parties plaignantes qui ont qualité pour recourir (art. 322 al. 2 et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186; ATF 138 IV 86 c. 4.1.1; ATF 137 IV 219; TF 1B_272/2011 du 22 mars 2012 c. 3.1.1).</w:t>
      </w:r>
    </w:p>
    <w:p>
      <w:r>
        <w:rPr>
          <w:b/>
        </w:rPr>
        <w:t>E. 3</w:t>
      </w:r>
    </w:p>
    <w:p>
      <w:r>
        <w:t>Les recourantes soutiennent tout d’abord que les prévenus se seraient rendus coupables de violation de domicile. 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Dans le cadre d’un bail à loyer, c’est le locataire qui possède la qualité d’ayant droit, à l’exclusion du propriétaire des lieux (ATF 118 IV 67 c. 1c). Sont également ayants droit le sous-locataire, voire le fonctionnaire qui occupe des locaux administratifs (ATF 112 IV 31 c. 3, JT 1986 IV 78).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(Dupuis/Geller/Monnier/Moreillon/ Piguet/Bettex/Stoll [éd.], Petit commentaire du Code pénal, Bâle 2012, n. 34 ad art. 186 CP, p. 1127 et les références citées). b) En l’espèce, les recourantes se plaignent de ce que le 5 février 2010, plusieurs personnes, dont T.________, ont pénétré sans autorisation dans les locaux de la crèche L.________. Il y a donc lieu de déterminer si, comme elles le soutiennent, les recourantes avaient un droit d’usage exclusif sur les locaux de la crèche de Lausanne. Les locaux abritant la crèche sont propriété de Q.________ SA, qui les a donnés à bail à la Fondation Z.________ (P. 19/4). Certes, l’art. 5 al. 1 du contrat de prestations de services du 2 décembre 2008 prévoit que la Fondation Z.________ s’engage à mettre à disposition de J.________ Sàrl, par le biais de contrats de sous-location, et pour la durée du contrat de prestations de services, les bâtiments de deux crèches de [...] et [...] construits et mis aux normes, aménagés et équipés de façon à permettre un fonctionnement des établissements conforme à la nature de l’activité de la crèche (P. 19/2). Malgré cette clause, aucun contrat de bail ou de sous-location n’a toutefois été conclu avec les recourantes. B.________, leur animateur, l’a d’ailleurs reconnu lors de son audition du 25 août 2010 (PV aud. 1). Il a également déclaré ne pas avoir payé de loyers, les locaux étant mis gracieusement à la disposition de J.________ Sàrl. Selon B.________, les contrats de sous-location, s’ils avaient été conclus, ne devaient servir qu’à valoriser, d’un point de vue comptable, l’investissement de la construction, dès lors que certaines places étaient mises à la disposition de la Ville de Lausanne (PV aud. 1, p. 1). B.________ a admis lors de sa seconde audition ne jamais avoir reçu de factures de loyer pour les locaux de la crèche ni de proposition de bail à loyer. Il ignorait en outre qui aurait été le bailleur (PV aud. 9, p. 2). Selon les dépositions de témoins entendus par le procureur, l’accès aux locaux était réglé par des badges électroniques délivrés par le service de sécurité de Q.________ SA et remis aux membres de la Fondation Z.________ (PV  aud. 7, 8 et 9). Ils étaient également remis aux parents et aux livreurs (PV aud. 7 et 8). Pour les autres employés de J.________ Sàrl, qui n’étaient pas actifs au sein de la crèche, le témoin D.________ a indiqué que les responsables de J.________ Sàrl avait souhaité des badges similaires à ceux de l’équipe active, mais que cela leur avait été refusé par la multinationale, et qu’il avait été convenu qu’ils puissent obtenir des badges visiteurs valables une journée, moyennant contrôle de leur identité. Le témoin a trouvé les membres de Q.________ SA « très présents pour observer comment cela se passait » (PV aud. 8, p. 4). Il résulte de ce qui précède que l’accès aux locaux dépendait de Q.________ SA et que les ayants droit, divers, comprenaient les membres de la Fondation Z.________, de la multinationale ou des parents. Les recourantes n’avaient donc aucun droit d’usage exclusif sur les locaux, que ce soit en vertu d’un contrat de bail ou d’un supposé contrat de prêt. Enfin, aux termes de l’art. 5 du contrat de prestations de services (P. 19/2, p. 6), la Fondation Z.________ s’est obligée à assurer la maintenance des bâtiments de la crèche, ainsi que le nettoyage et l’entretien des gros matériels (sic) et équipements de celle-ci, la sécurité, l’alarme et la surveillance des deux sites, l’assurance des locaux contre l’incendie, l’entretien des espaces verts et des espaces extérieurs attenants aux crèches, ainsi que l’ensemble des fluides. Elle s’est également engagée à obtenir de Q.________ SA de prendre directement en charge, via leurs équipes de maintenance, les petits travaux de réparation et d’entretien courants nécessaires dans les deux crèches (art. 5 al. 4 dudit contrat). La Fondation Z.________ avait donc le droit, pour assumer ces différentes obligations, de pénétrer dans les locaux de la crèche L.________, c) C’est donc à bon droit que le procureur a retenu que, malgré la présence d’employés de J.________ Sàrl à l’intérieur du bâtiment de Q.________ SA, la Fondation Z.________ en restait détentrice comme locataire et en conservait la maîtrise effective. L’infraction de violation de domicile n’est pas réalisée, l’un de ses éléments constitutifs objectifs et l’intention faisant défaut.</w:t>
      </w:r>
    </w:p>
    <w:p>
      <w:r>
        <w:rPr>
          <w:b/>
        </w:rPr>
        <w:t>E. 4</w:t>
      </w:r>
    </w:p>
    <w:p>
      <w:r>
        <w:t>Dans son arrêt du 30 juin 2011, la Chambre des recours pénale a considéré que lors des événements du 5 février 2010, la directrice pédagogique engagée par J.________ Sàrl, D.________, semblait avoir été expulsée des locaux de la crèche, sans décision judiciaire, de sorte qu’il y avait lieu d’instruire sur une éventuelle contrainte commise à son préjudice.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b) En l’espèce, la directrice pédagogique D.________ a déclaré avoir refusé de signer immédiatement un nouveau contrat de travail en date du 5 février 2010 en demandant un délai de réflexion. T.________ lui avait dit qu’elle pouvait réfléchir, mais qu’alors elle devait quitter les lieux en attendant d’avoir signé. Le prénommé lui avait demandé de sortir sans faire d’histoires, sans quoi elle serait raccompagnée par des agents de sécurité (PV aud. 8, p. 7). D.________ a expliqué que par « expulser », elle entendait le fait d’être contrainte de quitter les lieux sous menace d’être physiquement expulsée si elle avait refusé de sortir seule (ibid.). L’intéressée a toutefois quitté les locaux de son plein gré, et si elle a été raccompagnée par des agents de sécurité de Q.________ SA, c’est sans doute parce qu’elle cherchait à récupérer des effets personnels. Selon le témoin [...],D.________ était verbalement agressive, criait et avait appelé la police en disant que les employés étaient séquestrés (PV aud. 7). Le témoin a confirmé que D.________ avait elle-même quitté la crèche de même que deux autres employés qui souhaitaient réfléchir (PV aud. 7, p. 4). Dans la mesure où la directrice pédagogique a quitté la crèche de son propre mouvement, sans avoir été l’objet d’un quelconque acte de violence, on ne voit aucun élément de contrainte en ce qui concerne sa sortie des locaux. c) On peut encore se demander si, dans les circonstances de la journée du 5 février 2010, une contrainte a été exercée sur la société J.________ Sàrl. La jurisprudence admet en effet qu’une société puisse être victime de contrainte (TF 6B_806/2009 du 18 mars 2010). Dans l’affaire qui a donné lieu à l’arrêt précité, les prévenus souhaitaient louer à la société qu’ils géraient un immeuble acquis aux enchères publiques par l’un deux. Dans cet immeuble, un couple tenait un pub-restaurant et une société exploitait une station-service. S’étant présenté de bon matin à l’employée de la station-service, un prévenu lui avait intimé l’ordre de s’en aller, après avoir fermé les compteurs des colonnes, l’exploitation étant suspendue avec effet immédiat. Cette personne s’était exécutée de bonne grâce et la porte avait été fermée à clé. Le Tribunal fédéral a considéré que, même si l’opération s’était déroulée en toute quiétude à l’égard de l’employée, ces faits étaient constitutifs de contrainte, car ils privaient la société exploitant la station-service, soit la victime, des infrastructures dont elle disposait jusque-là (TF 6B_806/2009 du 18 mars 2010, c. 3.2.1). La situation est toutefois différente dans le cas présent. En effet, la Fondation Z.________, comme on l’a vu, avait conservé la maîtrise effective des locaux abritant la crèche et n’avait délégué, contractuellement, que l’exploitation de celle-ci à J.________ Sàrl. On ne se trouve donc pas dans la situation d’un auteur qui, pour prendre possession de locaux déjà loués, mais dont il n’avait jamais disposé, expulse tous les employés et occupants de l’immeuble qu’il avait acquis. En outre, le fait d’empêcher la poursuite d’une exploitation commerciale, dans les circonstances du cas concret, n’apparaît pas constitutif de contrainte (TF 6B_806/2009 du 18 mars 2010 c. 3.2.2, précité). Les procédés de Q.________ SA et de la Fondation Z.________ à l’égard de J.________ Sàrl sont sans doute peu élégants, et l’on peut concevoir qu’ils aient heurté certains employés de la plaignante. Cependant, comme la fondation, en sa qualité de locataire, avait un droit d’usage sur les locaux, il lui était loisible de formuler des demandes quant à leur occupation et de réclamer que les personnes présentes à la crèche, le</w:t>
      </w:r>
    </w:p>
    <w:p>
      <w:r>
        <w:rPr>
          <w:b/>
        </w:rPr>
        <w:t>E. 5</w:t>
      </w:r>
    </w:p>
    <w:p>
      <w:r>
        <w:t>Il convient de se demander si la Fondation Z.________ a exploité de manière déloyale un travail confié à la plaignante et si, ce faisant, elle s’est rendue coupable d’infraction à la LCD. Les recourantes reprochent en effet à ladite fondation de s’être accaparée, par surprise et contre leur volonté, les fruits de tout le travail préparatoire à l’ouverture de la crèche, a) En vertu de l'art. 23 al. 1 LCD, quiconque, intentionnellement, se rend coupable de concurrence déloyale au sens des art. 3, 4, 4a, 5 ou 6 est, sur plainte, puni d'une peine privative de liberté de trois ans au plus ou d'une peine pécuniaire. L’art. 5 LCD prévoit qu'agit de façon déloyale celui qui notamment exploite de façon indue le résultat d'un travail qui lui a été confié, par exemple des offres, des calculs ou des plans (let. a), ou celui qui exploite le résultat du travail d'un tiers, par exemple des offres, des calculs ou des plans, bien qu'il sache que ce résultat lui a été remis ou rendu accessible de façon indue (let. b). Le terme de « résultat de travail » couvre le résultat d’un travail préparatoire, qui se situe en amont de l’utilisation commerciale. Peuvent constituer le résultat d’un travail des esquisses, des études ou des concepts (Simone Brauchbar Birkhaüser, Bundesgesetz gegen den unlauteren Wettbewerb (UWG), 2010, n. 9 ad art. 5 LCD). Un certain effort intellectuel ou matériel doit avoir conduit au résultat obtenu. En revanche, la loi ne réprime pas la reprise d’une simple idée confiée par un tiers qui n’en serait encore qu’à un stade embryonnaire et qui, partant, nécessite encore un long travail de mise au point (ATF 122 III 469 c. b ; Message à l’appui d’une loi fédérale contre la concurrence déloyale, FF 1983 II p. 1103 ; TF 6B_672/2012 du 19 mars 2013 et les références citées). Dans le cas de l’art. 5 let. b LCD, le résultat du travail d’un tiers n’a pas été remis à une personne à titre d’offre. Celui qui est en possession des calculs, des plans, du travail réalisé, les a obtenus « d’une manière ou d’une autre ». Il n’a pas le droit de les exploiter, en principe, car l’auteur du travail n’a pas donné son autorisation. Le concurrent peut en général présumer que les plans ont été préparés par un tiers qui a des droits sur eux. Le concurrent, en cas de doute, devrait à tout le moins s’assurer de l’accord de l’auteur des plans (Frick, in : Hilty/Arpagaus [éd.], Basler Kommentar, Bundesgesetz gegen den unlauteren Wettbewerb [UWG], Bâle 2013, nn. 58-59 ad art. 5 LCD,pp. 535-536). b) En l’espèce, J.________ Sàrl n’est pas un tiers à l’égard de la Fondation Z.________, mais partie au contrat de services et de consulting du 2 septembre 2009 (P. 28/2). La LCD, dont les dispositions doivent être interprétées restrictivement (ATF 139 IV 17 c. 1.1), ne paraît pas applicable au cas présent. Dans son audition du 25 août 2010, B.________ s’est exprimé en ces termes au sujet du « travail préparatoire » : « Je tiens encore à ajouter que l’inexistence de contrats de sous-location me paraît démontrer la préméditation de [...] dans sa volonté de nous évincer et de profiter de tout le travail que nous avions effectué, notamment en ce qui concerne le recrutement dans le personnel spécialisé dans l’encadrement de la petite enfance. C’est un an d’efforts qui nous ont été nécessaires pour réunir la cinquantaine de salariés s’occupant de la crèche. Nous avons dû convaincre du personnel français de déménager et de venir en Suisse car il est extrêmement difficile de trouver suffisamment de personnel sur le marché local. Tout ce travail nous été confisqué de force par [...]» (PV aud. 1, p. 3). Ces prestations sont précisément celles qui ont été obtenues en vertu du contrat de consulting, qui est indépendant de celui lié à l’exploitation de la crèche (P. 28/2). Ce contrat, et l’activité déployée par J.________ Sàrl,a fait l’objet d’une rémunération spécifique séparée (PV aud. 9, p. 5 ; P. 37, ch. II). Par ailleurs, les conditions générales signées par les parties prévoient expressément que les droits de propriété intellectuelle sur le travail produit deviennent la propriété exclusive du client, c’est-à-dire de la Fondation Z.________ (P. 28/2, ch. 6 des conditions générales). Au demeurant, les recourantes n’invoquent aucune clause du contrat initial qui subordonnerait l’exploitation de leur travail à la poursuite de la collaboration pendant une durée déterminée. Enfin, on ne voit pas quel travail la Fondation Z.________ se serait « accaparé », qui ne serait pas inclus dans le contrat de consulting. c) Aucune violation de l’art. 5 let. b LCD n’étant réalisée, l’ordonnance de classement est bien fondée sur ce point également.</w:t>
      </w:r>
    </w:p>
    <w:p>
      <w:r>
        <w:rPr>
          <w:b/>
        </w:rPr>
        <w:t>E. 6</w:t>
      </w:r>
    </w:p>
    <w:p>
      <w:r>
        <w:t>Les recourantes ne contestent pas la décision libératoire relative à l’infraction d’insoumission à une décision de l’autorité au sens de l’art. 292 CP. Il convient d’en prendre acte.</w:t>
      </w:r>
    </w:p>
    <w:p>
      <w:r>
        <w:rPr>
          <w:b/>
        </w:rPr>
        <w:t>E. 7</w:t>
      </w:r>
    </w:p>
    <w:p>
      <w:r>
        <w:t>a) Les recourantes reprochent au procureur de ne pas avoir donné suite à leur réquisition tendant à l’audition de G.________ et V.________, lesquelles auraient été empêchées d’entrer dans la crèche, ni à celle tendant à la délivrance de mandats de comparution contre [...], employée de Q.________ SA ayant repris la supervision de la crèche après les faits litigieux, et contre [...], conseiller juridique interne de Q.________ SA. b) Il n’a pas été allégué en cours de procédure que G.________ et V.________ auraient été victimes de violence, menacées d’un dommage sérieux ou entravées de quelque autre manière dans leur liberté d’action. Les intéressées n’ont d’ailleurs pas jugé à propos de dénoncer un acte de contrainte contre elles. Au reste, il est constant que les dirigeants de la Fondation Z.________ n’ont plus souhaité donner accès aux locaux aux représentants de J.________ Sàrl. Ce fait étant établi, il n’est pas nécessaire de recueillir la déposition des prénommées à ce propos. Quant à [...] et à [...], dont la comparution est requise, il n’a jamais été avancé jusqu’ici qu’ils auraient participé au « putsch » du 5 février 2010. Les recourantes ne précisent pas à quel titre leur audition est demandée, n’exposent pas clairement les griefs qui leur sont faits ni le rôle qu’ils auraient joué. Dans ces conditions, la réquisition, dont on voit mal ce qu’elle est susceptible d’apporter, doit être rejetée.</w:t>
      </w:r>
    </w:p>
    <w:p>
      <w:r>
        <w:rPr>
          <w:b/>
        </w:rPr>
        <w:t>E. 8</w:t>
      </w:r>
    </w:p>
    <w:p>
      <w:r>
        <w:t>En définitive, le recours doit être rejeté et l’ordonnance de classement du 6 mai 2013 confirmée. Les frais de la procédure de recours, constitués en l’espèce de l’émolument d'arrêt, par 1'430 fr. (art. 20 al. 1 TFJP [tarif des frais judiciaires pénaux; RSV 312.03.1]), seront mis à la charge des recourantes, par moitié chacune, soit 715 fr., et solidairement entre elles (art. 418 al. 1 et 2 et 428 al. 1 CPP). Il n’y a pas lieu d’allouer une indemnité aux prévenus, qui n’en réclament pas et avaient d’ailleurs déclaré – comme cela leur est loisible (cf. CREP 3 septembre 2013/579 c. 2a) – renoncer à toute indemnité à la charge de l’Etat (P. 59/1). Par ces motifs, la Chambre des recours pénale, statuant à huis clos, prononce : I. Le recours est rejeté. II. L’ordonnance de classement du 6 mai 2013 est confirmée. III. Les frais d’arrêt, par 1'430 fr. (mille quatre cent trente francs) sont mis pour moitié, soit 715 fr. (sept cent quinze francs), à la charge de J.________ Sàrl et pour moitié, soit 715 fr. (sept cent quinze francs), à la charge de H.________ SAS, solidairement entre elles. IV. Le présent arrêt est exécutoire. Le président :               Le greffier : Du L'arrêt qui précède, dont la rédaction a été approuvée à huis clos, est notifié, par l'envoi d'une copie complète, à : - M. Jean-Yves Rebord, avocat (pour J.________ Sàrl et H.________ SAS), - M. Gilles Robert-Nicoud, avocat (pour T.________ et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