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809 vom 27. September 2013</w:t>
      </w:r>
    </w:p>
    <w:p>
      <w:r>
        <w:t>VD Tribunal cantonal, 2013-09-27, FR</w:t>
      </w:r>
    </w:p>
    <w:p>
      <w:r>
        <w:rPr>
          <w:b/>
        </w:rPr>
        <w:t xml:space="preserve">Quelle: </w:t>
      </w:r>
      <w:r>
        <w:t>https://mcp.opencaselaw.ch/entscheid/vd_findinfo_D_cision___2013___809</w:t>
      </w:r>
    </w:p>
    <w:p>
      <w:r>
        <w:t>FR: VD_FINDINFO Décision / 2013 / 809 du 27 septembre 2013</w:t>
      </w:r>
    </w:p>
    <w:p>
      <w:r>
        <w:t>IT: VD_FINDINFO Décision / 2013 / 809 del 27 settembre 2013</w:t>
      </w:r>
    </w:p>
    <w:p>
      <w:pPr>
        <w:pStyle w:val="Heading2"/>
      </w:pPr>
      <w:r>
        <w:t>Regeste</w:t>
      </w:r>
    </w:p>
    <w:p>
      <w:r>
        <w:t>RELIEF, JUGEMENT PAR DÉFAUT, ABSENCE, FAUTE | 368 al. 3 CPP (CH), 369 al. 1 CPP (CH), 369 al. 4 CPP (CH), 36 al. 1 lit. b PPMin, 36 al. 1 lit. c PPMin, 36 PPMin</w:t>
      </w:r>
    </w:p>
    <w:p>
      <w:pPr>
        <w:pStyle w:val="Heading2"/>
      </w:pPr>
      <w:r>
        <w:t>Erwägungen</w:t>
      </w:r>
    </w:p>
    <w:p>
      <w:r>
        <w:rPr>
          <w:b/>
        </w:rPr>
        <w:t>E. 1</w:t>
      </w:r>
    </w:p>
    <w:p>
      <w:r>
        <w:t>Aux termes de l’art. 393 al. 1 let. b CPP (par renvoi des art. 38 al. 1 et 39 al. 1 et 3 PPMin), le recours est recevable contre les ordonnances, les décisions et les actes de procédure des tribunaux de première instance, sauf contre ceux de la direction de la procédure. Une décision par laquelle un tribunal de première instance rejette une demande de nouveau jugement présentée par un condamné par défaut (cf.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Jugendstraf-prozessordnung, Bâle 2011, n. 16 ad art. 368 CPP et n. 1 ad art. 369 CPP ; Jeremy Stephenson/Gilbert Thiriet, in: Niggli/Heer/Wiprächtiger (éd.), Basler Kommentar, Schweizerische Strafprozessordnung, Jugendstrafprozessordnung, Bâle 2011, n. 12 ad art. 393 CPP ; Sarah Summers, in : Donatsch/Hansjakob/Lieber (éd.), Kommentar zur Schweizerischen Strafprozessordnung, 2010, n. 17 ad art. 368 CPP et n. 4 ad art. 369 CPP ; CREP 5 juillet 2012/388, CREP 8 juin 2011/201 c. 1, CREP 11 mai 2011/148 c. 1 et CREP 12 avril 2011/97 c. 1). Ce recours s’exerce auprès de l’autorité de recours (cf. art. 20 al. 1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fait d’abord valoir qu’il n’aurait été entendu qu’une seule fois par la police et jamais par le Président du Tribunal des mineurs. Il expose également que le dossier serait incomplet, sa situation personnelle n’ayant pas été actualisée. b) Aux termes de l’art. 36 PPMin, la procédure par défaut n’est possible qu’aux conditions suivantes: le prévenu mineur ne se présente pas aux débats malgré deux citations (a); il a été interrogé par l’autorité d’instruction (b); les preuves réunies permettent de rendre un jugement en son absence (c); seule une peine est envisagée (d). c) Il est douteux qu’un condamné par défaut puisse, dans le cadre d’un recours dirigé contre un prononcé rejetant une demande de nouveau jugement, faire valoir que les conditions d’un jugement par défaut selon l’art 36 PPMin (respectivement, pour la procédure applicable aux majeurs, selon l’art. 366 CPP) n’étaient pas réunies (cf. CREP 5 juillet 2012/388 c. 2b). La question peut toutefois demeurer indécise dès lors que les griefs du recourant se révèlent de toute manière mal fondés pour les motifs exposés ci-après. d) L’autorité d’instruction au sens de l’art. 36 al. 1 let. b PPMin est un magistrat (Rapport additionnel concernant le commentaire des modifications apportées au projet du Conseil fédéral de procédure pénale applicable aux mineurs (PPMin) du 21 décembre 2005, ch. 2.1.2.1). W.________ a été auditionné par le Président du Tribunal des mineurs (PV 404, du 3 mai 2011). Il a par conséquent été entendu par l’autorité d’instruction au sens de l’art. 36 al. 1 let. b PPMin. Il a également été entendu par la police (PV 403, du 3 mai 2011, PV 406, du 9 mai 2011). De nombreuses autres auditions ont également eu lieu. Sa situation personnelle était par conséquent connue de l’autorité de jugement. Au demeurant, la Chambre des recours pénale constate que le recourant n’indique pas dans quelle mesure le fait que sa situation personnelle n’ait pas été actualisée aurait influé sur le jugement rendu.</w:t>
      </w:r>
    </w:p>
    <w:p>
      <w:r>
        <w:rPr>
          <w:b/>
        </w:rPr>
        <w:t>E. 3</w:t>
      </w:r>
    </w:p>
    <w:p>
      <w:r>
        <w:t>PPMin (Message relatif à l’unification du droit de la procédure pénale, p. 1354),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op. cit., n. 2 ad art. 369 CPP et la référence citée ; Summers, op. cit., n. 3 ad art. 369 CPP ; cf. Thalmann, op. cit., n. 4 ad art. 369 CPP ; CREP 5 juillet 2013/388 c. 2b, CREP 6 mai 2011/138 c. 2c et CREP 12 avril 2011/97 c. 2c). En tous les cas, la décision par laquelle le tribunal rejette la demande de nouveau jugement peut être attaquée par la voie du recours selon les art. 393 ss CPP (cf. c. 1 supra). c) La loi n’énumère pas les cas dans lesquels l’excuse du condamné absent est « valable » (cf. art. 368 al. 3 CPP). A titre d’exemples d’absence fautive, le Message du Conseil fédéral mentionne le cas du prévenu emprisonné qui avait refusé d’être conduit aux débats (cf. art. 366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1er mai 2006, in: SJ 2006 I 450, c.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(Thalmann, op. cit., n. 20 ad art. 368 CPP et les arrêts cités). d) En l’espèce, W.________ ne pouvait pas ignorer, contrairement à ce qu’il soutient, qu’il devait rester à la disposition de la justice. Le 2 mai 2011, il a signé un formulaire indiquant ses droits et obligations. Ce formulaire comportait notamment la mention suivante :« Si vous avez votre domicile ou résidence habituelle à l’étranger, ou si vous n’avez pas de domicile fixe, vous êtes tenu de désigner une personne en Suisse pour recevoir à votre place toutes correspondances, avis de procédure ou décision concernant cette affaire (art. 87 al. 2 CPP). Si vous ne le faites pas, des décisions pourront vous être valablement notifiées par la publication dans la Feuille des avis officiels (art. 88 al. 1 CPP ; les ordonnances de classement et les ordonnances pénales sont réputées notifiées même en l’absence d’une publication (art. 88 al. 4 CPP) . Entendu par la police municipale de Lausanne le 3 mai 2013 (PV aud. 403) en présence d’une interprète en langue roumaine, W.________ a déclaré avoir compris ses droits et obligations figurant sur le formulaire précité (PV aud. 403 du 3 mai 2013, R. 4, p. 2). De plus, W.________ a déjà été condamné à trois reprises en Suisse (Jugement du Tribunal des mineurs du 22 janvier 2013, ch. 5, p. 5) et pouvait dès lors s’attendre à être convoqué, notamment pour des débats. Il pouvait en tout temps prendre contact avec son avocat d’office afin de se renseigner sur l’avancement de la procédure, ce qu’il n’a pas fait. En conséquence, W.________ ne pouvait ignorer qu’il devait rester à la disposition de la justice suisse ou, à tout le moins, qu’il devait se renseigner auprès de son conseil pour connaître l’état d’avancement de la procédure instruite à son encontre. Au vu de l’ensemble des considérations qui précèdent, c’est à bon droit que le Tribunal des mineurs a rejeté la demande de nouveau jugement de W.________.</w:t>
      </w:r>
    </w:p>
    <w:p>
      <w:r>
        <w:rPr>
          <w:b/>
        </w:rPr>
        <w:t>E. 4</w:t>
      </w:r>
    </w:p>
    <w:p>
      <w:r>
        <w:t>En définitive, le recours, manifestement mal fondé, doit être rejeté sans autre échange d’écritures (art. 390 al. 2 CPP) et la décision confirmée. Les frais de la procédure de recours, constitués en l’espèce de l'émolument d'arrêt (art. 422 al. 1 CPP), par 440 fr. (art. 20 al. 1 et 2 TFJP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6 septembre 2013 est confirmée. III. L’indemnité allouée au défenseur d’office de W.________ est fixée à 486 fr. (quatre cent huitante-six francs), TVA comprise. IV. Les frais du présent arrêt, par 440 fr. (quatre cent quarante francs), ainsi que l’indemnité due au défenseur d’office de W.________, par 486 fr. (quatre cent huitante-six francs), sont mis à la charge de ce dernier. V. Le remboursement à l’Etat de l’indemnité allouée au chiffre III ci-dessus sera exigible pour autant que la situation économique de W.________ se soit améliorée. VI. Le présent arrêt est exécutoire. Le vice-président : La greffière : Du L'arrêt qui précède, dont la rédaction a été approuvée à huis clos, est notifié, par l'envoi d'une copie complète, à : - Me Alain Vuithier, avocat (pour W.________), - Ministère public central, et communiqué à : - Mme la Présidente du Tribunal des mineurs, - M. le Procureur du Ministère public central,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