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795 vom 11. September 2013</w:t>
      </w:r>
    </w:p>
    <w:p>
      <w:r>
        <w:t>VD Tribunal cantonal, 2013-09-11, FR</w:t>
      </w:r>
    </w:p>
    <w:p>
      <w:r>
        <w:rPr>
          <w:b/>
        </w:rPr>
        <w:t xml:space="preserve">Quelle: </w:t>
      </w:r>
      <w:r>
        <w:t>https://mcp.opencaselaw.ch/entscheid/vd_findinfo_D_cision___2013___795</w:t>
      </w:r>
    </w:p>
    <w:p>
      <w:r>
        <w:t>FR: VD_FINDINFO Décision / 2013 / 795 du 11 septembre 2013</w:t>
      </w:r>
    </w:p>
    <w:p>
      <w:r>
        <w:t>IT: VD_FINDINFO Décision / 2013 / 795 del 11 settembre 2013</w:t>
      </w:r>
    </w:p>
    <w:p>
      <w:pPr>
        <w:pStyle w:val="Heading2"/>
      </w:pPr>
      <w:r>
        <w:t>Regeste</w:t>
      </w:r>
    </w:p>
    <w:p>
      <w:r>
        <w:t>DÉCISION D'IRRECEVABILITÉ, RETRAIT{VOIE DE DROIT} | 386 al. 2 let. b CPP (CH)</w:t>
      </w:r>
    </w:p>
    <w:p>
      <w:pPr>
        <w:pStyle w:val="Heading2"/>
      </w:pPr>
      <w:r>
        <w:t>Erwägungen</w:t>
      </w:r>
    </w:p>
    <w:p>
      <w:r>
        <w:rPr>
          <w:b/>
        </w:rPr>
        <w:t>E. 1</w:t>
      </w:r>
    </w:p>
    <w:p>
      <w:r>
        <w:t>Par écriture du 9 septembre 2013, X.________ a déclaré retirer le recours qu’il a interjeté le 1 er juillet 2013 contre l’ordonnance de non-entrée en matière rendue le 13 juin 2013 par le Ministère public de l’arrondissement de l’Est vaudois. Il sied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doivent être mis à la charge de X.________. Les frais ainsi mis à sa charge seront compensés avec le montant de 440 fr. qu’il a déjà versé à titre de sûretés (art. 383 CPP) et le solde, par 220 fr., lui sera restitué. Par ces motifs, la Chambre des recours pénale, statuant à huis clos, prononce : I. Il est pris acte du retrait du recours. II. La cause est rayée du rôle. III. Les frais d'arrêt, par 220 fr. (deux cent vingt francs), sont mis à la charge de X.________. IV. Les frais mis à la charge du recourant au chiffre III ci-dessus sont compensés avec le montant de 440 fr. (quatre cent quarante francs) déjà versé par celui-ci à titre de sûretés et le solde, par 220 fr. (deux cent vingt francs), lui est restitué. V. Le présent arrêt est exécutoire. Le président :               La greffière : Du L'arrêt qui précède, dont la rédaction a été approuvée à huis clos, est notifié, par l'envoi d'une copie complète, à : - M. Nicolas Mattenberger, avocat (pour X.________), - Ministère public central, et communiqué à : ‑ M. le Procureur de l’arrondissement de l’Est vaudois, - A.________, Département prestations,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