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794 vom 17. September 2013</w:t>
      </w:r>
    </w:p>
    <w:p>
      <w:r>
        <w:t>VD Tribunal cantonal, 2013-09-17, FR</w:t>
      </w:r>
    </w:p>
    <w:p>
      <w:r>
        <w:rPr>
          <w:b/>
        </w:rPr>
        <w:t xml:space="preserve">Quelle: </w:t>
      </w:r>
      <w:r>
        <w:t>https://mcp.opencaselaw.ch/entscheid/vd_findinfo_D_cision___2013___794</w:t>
      </w:r>
    </w:p>
    <w:p>
      <w:r>
        <w:t>FR: VD_FINDINFO Décision / 2013 / 794 du 17 septembre 2013</w:t>
      </w:r>
    </w:p>
    <w:p>
      <w:r>
        <w:t>IT: VD_FINDINFO Décision / 2013 / 794 del 17 settembre 2013</w:t>
      </w:r>
    </w:p>
    <w:p>
      <w:pPr>
        <w:pStyle w:val="Heading2"/>
      </w:pPr>
      <w:r>
        <w:t>Regeste</w:t>
      </w:r>
    </w:p>
    <w:p>
      <w:r>
        <w:t>CLASSEMENT DE LA PROCÉDURE, TÉMOIN, APPRÉCIATION DES PREUVES, POLICE, DÉCISION D'IRRECEVABILITÉ | 310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En l’espèce, la recourante fait grief au Procureur de ne pas avoir mis en œuvre des mesures d’investigation sérieuses pour faire la lumière sur les faits. En particulier, elle lui reproche d’avoir fondé, à tout le moins en partie, sa décision et sa conviction sur la base du témoignage de Z.________, alors que celui-ci n’a jamais été formellement entendu par la police, les inspecteurs s’étant contentés d’un entretien téléphonique avec le témoin. En l’état du dossier, sur la seule base des témoignages et du rapport de police, il apparaît à tout le moins qu’à une reprise B.X.________ a évoqué le fait d’avoir dû « mettre un produit » sur le sexe de son père. A la décharge de C.X.________, on trouve d’une part le témoignage téléphonique de Z.________, selon lequel l’intéressé serait absolument incapable de commettre un tel acte, et, d’autre part, les accusations similaires portées par la plaignante à l’égard de son précédent mari. Toutefois, à ce stade de la procédure, on ne saurait écarter les graves accusations portées à l’encontre de C.X.________ sur la base d’un témoignage informel, recueilli téléphoniquement. Au surplus, il ressort des pièces fournies par la police que, si la recourante a effectivement incité un témoin à charger son premier mari – G.________ – dans le cadre d’une première procédure de divorce, elle a néanmoins réussi à convaincre le Procureur général genevois qui a renvoyé l’intéressé en jugement devant une cour correctionnelle pour des actes d’ordre sexuel sur un enfant et des lésions corporelles sur son épouse (P. 11/2) et on ignore à ce stade les suites qui ont été données à cet acte, puisque le dossier de la police ne contient pas le jugement rendu par ce tribunal. Au vu de ces éléments, il y a lieu d’admettre que l’on se trouve dans un cas limite. En effet, il n’apparaît pas d’emblée exclu que l’enquête débouche finalement sur une ordonnance de classement. Toutefois, en l’état, on ne peut pas considérer que la condamnation de C.X.________ est exclue sans que le Ministère public n’ouvre une instruction en vue de procéder, en particulier, à l’audition formelle de Z.________, principal témoin à décharge de C.X.________. A ce stade, il existe donc des soupçons suffisants laissant présumer qu'une infraction aurait pu être commise (cf. art. 309 al. 1 let. a CPP), les éléments à décharge n’étant pas exploitables sans autre mesure d’instruction. Il est donc nécessaire que le Procureur ouvre une instruction.</w:t>
      </w:r>
    </w:p>
    <w:p>
      <w:r>
        <w:rPr>
          <w:b/>
        </w:rPr>
        <w:t>E. 4</w:t>
      </w:r>
    </w:p>
    <w:p>
      <w:r>
        <w:t>En définitive, le recours sera admis, l’ordonnance de non-entrée en matière du 10 juin 2013 étant annulée et la cause renvoyée au Ministère public de l'arrondissement de Lausanne pour ouverture d’une instruction. Au vu du sort du recours, il n’y a pas lieu à l’allocation d’indemnité au sens de l’art. 429 CPP ou de l’art. 432 CPP pour la procédure de première instance. Pour le surplus, il n'y a pas lieu non plus, à ce stade de la procédure, d'allouer une indemnité pour la procédure de recours, conformément à la jurisprudence selon laquelle une indemnité ne peut être réclamée pour l'exercice raisonnable des droits de procédure qu'à la fin de la procédure et à l'autorité pénale qui procède à l'abandon de la poursuite pénale par un acquittement total ou partiel ou une ordonnance de classement (CREP 10 janvier 2013/15; CREP 11 juin 2012/403; CREP 9 décembre 2011/594 c. 3c). Enfin, les frais d'arrêt, par 880 fr. (art. 20 al. 1 TFJP [tarif des frais judiciaires pénaux du 28 septembre 2010; RSV 312.03.1]), seront laissés à la charge de l'Etat (art. 428 al. 4 CPP). Par ces motifs, la Chambre des recours pénale, statuant à huis clos, prononce : I. Le recours est admis. II. L'ordonnance de non-entrée en matière du 10 juin 2013 est annulée. III. Le dossier de la cause est renvoyé au Ministère public de l’arrondissement de Lausanne pour qu'il procède dans le sens des considérants. IV. Les frais d'arrêt, par 880 fr. (huit cent huitante francs), sont laissés à la charge de l'Etat. V. Le présent arrêt est exécutoire. Le président :               La greffière : Du L'arrêt qui précède, dont la rédaction a été approuvée à huis clos, est notifié, par l'envoi d'une copie complète, à : - Mme Patricia Michellod, avocate (pour A.X.________), - M. Michel Dupuis, avocat (pour C.X.________),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