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791 vom 20. September 2013</w:t>
      </w:r>
    </w:p>
    <w:p>
      <w:r>
        <w:t>VD Tribunal cantonal, 2013-09-20, FR</w:t>
      </w:r>
    </w:p>
    <w:p>
      <w:r>
        <w:rPr>
          <w:b/>
        </w:rPr>
        <w:t xml:space="preserve">Quelle: </w:t>
      </w:r>
      <w:r>
        <w:t>https://mcp.opencaselaw.ch/entscheid/vd_findinfo_D_cision___2013___791</w:t>
      </w:r>
    </w:p>
    <w:p>
      <w:r>
        <w:t>FR: VD_FINDINFO Décision / 2013 / 791 du 20 septembre 2013</w:t>
      </w:r>
    </w:p>
    <w:p>
      <w:r>
        <w:t>IT: VD_FINDINFO Décision / 2013 / 791 del 20 settembre 2013</w:t>
      </w:r>
    </w:p>
    <w:p>
      <w:pPr>
        <w:pStyle w:val="Heading2"/>
      </w:pPr>
      <w:r>
        <w:t>Regeste</w:t>
      </w:r>
    </w:p>
    <w:p>
      <w:r>
        <w:t>DÉTENTION PRÉVENTIVE, RISQUE DE COLLUSION | 221 al. 1 let. b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En l’espèce, le recourant ne conteste à juste titre pas l’existence de présomptions suffisantes de culpabilité à son encontre.</w:t>
      </w:r>
    </w:p>
    <w:p>
      <w:r>
        <w:rPr>
          <w:b/>
        </w:rPr>
        <w:t>E. 3</w:t>
      </w:r>
    </w:p>
    <w:p>
      <w:r>
        <w:t>a) L’ordonnance attaquée se fonde sur le risque de collusion (art. 221 al. 1 let. b), lequel est contesté par le recourant. b)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c) En l’espèce, compte tenu de la structure internationale du réseau, des mesures d’instruction visant notamment à identifier les complices du recourant et l’ampleur de l’implication de ce dernier dans des activités illicites antérieures sont actuellement en cours au Kosovo et en Allemagne. A cet égard, il y a lieu de souligner que, selon les premiers contrôles effectués, il ne s’agissait pas du premier chargement envoyé en Suisse par le même expéditeur, à savoir le frère du beau-frère du recourant. A ce stade de l’enquête, qui n’en est qu’à ses débuts, il paraît donc établi que le résultat des investigations pourrait être compromis si le recourant venait à être remis en liberté. En effet, il est fort à craindre que ce dernier fasse disparaître des preuves ou se concerte avec des tiers, en vue de faire obstacle à la manifestation de la vérité. Sur ce point et contrairement à ce que soutient le recourant, le fait que le frère de son beau-frère soit déjà au courant de sa détention n’y change rien. Au vu de ce qui précède, le risque de collusion s'oppose à la libération de la détention provisoire du recourant. En outre, aucune mesure de substitution ne saurait éliminer ce risque.</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K.________ est détenu depuis le 5 septembre 2013, soit depuis environ deux semaines. Compte tenu des actes qui lui sont reprochés et des circonstances, soit en particulier l’ampleur du trafic, le recourant s'expose à une peine privative de liberté d’une durée manifestement supérieure à celle de la détention provisoire subie à ce jour. Au vu de ces éléments, la détention provisoire ordonnée par le premier juge respecte le principe de proportionnalité.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de K.________ est fixée à 583 fr. 20 (cinq cent huitante trois francs et vingt centimes). IV. L'émolument d'arrêt, par 660 fr. (six cent soixante francs), ainsi que l'indemnité due au défenseur d'office du recourant, par 583 fr. 20 (cinq cent huitante trois francs et vingt centimes), sont mis à la charge de ce dernier. V. Le remboursement à l'Etat de l'indemnité allouée au chiffre III ci-dessus sera exigible pour autant que la situation économique de K.________ se soit améliorée. VI. Le présent arrêt est exécutoire. Le président :               La greffière : Du L'arrêt qui précède, dont la rédaction a été approuvée à huis clos, est notifié, par l'envoi d'une copie complète, à : - M. Yann Oppliger, avocat (pour K.________), - Ministère public central; et communiqué à : ‑ Mme la Présidente du Tribunal des mesures de contrainte, - M. le Procureur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