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790 vom 19. September 2013</w:t>
      </w:r>
    </w:p>
    <w:p>
      <w:r>
        <w:t>VD Tribunal cantonal, 2013-09-19, FR</w:t>
      </w:r>
    </w:p>
    <w:p>
      <w:r>
        <w:rPr>
          <w:b/>
        </w:rPr>
        <w:t xml:space="preserve">Quelle: </w:t>
      </w:r>
      <w:r>
        <w:t>https://mcp.opencaselaw.ch/entscheid/vd_findinfo_D_cision___2013___790</w:t>
      </w:r>
    </w:p>
    <w:p>
      <w:r>
        <w:t>FR: VD_FINDINFO Décision / 2013 / 790 du 19 septembre 2013</w:t>
      </w:r>
    </w:p>
    <w:p>
      <w:r>
        <w:t>IT: VD_FINDINFO Décision / 2013 / 790 del 19 settembre 2013</w:t>
      </w:r>
    </w:p>
    <w:p>
      <w:pPr>
        <w:pStyle w:val="Heading2"/>
      </w:pPr>
      <w:r>
        <w:t>Regeste</w:t>
      </w:r>
    </w:p>
    <w:p>
      <w:r>
        <w:t>CONTRÔLE DE LA DÉTENTION, DÉTENTION PRÉVENTIVE, RISQUE DE FUITE, ATTEINTE À UN DROIT CONSTITUTIONNEL | 3 CEDH, 221 al. 1 let. a CPP (CH), 234 al. 1 CPP (CH), 235 CPP (CH), 27 LVCPP</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b) En l’espèce, le Tribunal des mesures de contrainte a retenu qu’il existait des soupçons suffisants à l’encontre de R.________, malgré ses dénégations, dès lors que son véhicule avait été retrouvé à proximité du lieu de commission du cambriolage et que des paquets de cigarettes, sur lesquelles se trouvaient ses empreintes, avaient été découverts dans cette voiture. Le premier juge a considéré qu’au vu de la peine qu’il encourait, l’intéressé, ressortissant roumain sans domicile connu et dépourvu d'attaches dans notre pays, présentait un risque de fuite élevé et qu’aucune mesure de substitution n’était susceptible de prévenir valablement ce risque. La Cour de céans se rallie entièrement à l’appréciation du premier juge à cet égard, appréciation que R.________ ne conteste d’ailleurs pas. Les conditions de l'art. 221 al. 1 CPP étant réunies, c'est à juste titre que le Tribunal des mesures de contrainte a ordonné la détention provisoire de R.________ pour une durée de deux mois.</w:t>
      </w:r>
    </w:p>
    <w:p>
      <w:r>
        <w:rPr>
          <w:b/>
        </w:rPr>
        <w:t>E. 3</w:t>
      </w:r>
    </w:p>
    <w:p>
      <w:r>
        <w:t>a) Le recourant se plaint de ses conditions de détention. Il fait valoir qu'il est détenu depuis son arrestation – soit depuis douze jours au moment du dépôt du recours – "dans les locaux de police ou de gendarmerie". Se référant à une correspondance de la Cheffe du Service pénitentiaire du 25 février 2013 adressée à la Présidente du Tribunal des mesures de contrainte, qu’il produit en annexe à son recours, le prévenu allègue que sa détention en zone carcérale ne permet pas d’assurer une détention conforme aux standards conventionnels, légaux et réglementaires applicables en la matière. Il requiert qu'il soit constaté que les conditions de sa détention violent l'art. 3 CEDH (Convention du 4 novembre 1950 de sauvegarde des droits de l’homme et des libertés fondamentales; RS 0.101), les art. 234 et 235 CPP, ainsi que l’art. 27 LVCPP (Loi vaudoise d'introduction du Code de procédure pénale du 19 mai 2009; RSV 312.01). b) Selon la jurisprudence du Tribunal fédéral, des irrégularités entachant la procédure de détention provisoire, notamment des irrégularités durant la procédure de placement ou de prolongation de la détention, n'entraînent pas la mise en liberté immédiate du prévenu, dans la mesure où les conditions de mise en détention provisoire sont par ailleurs réunies (ATF 139 IV 41 c. 2.2). Tel est le cas en l'espèce, comme cela a été relaté ci-dessus. En revanche, 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(ATF 139 IV 41 c. 3.1 et les arrêts cités). L'art. 3 CEDH, qui interdit, comme d'autres dispositions constitutionnelles ou conventionnelles, la torture et les peines ou traitements dégradants, impose notamment des standards minimaux en matière de détention, concrétisés par les Règles pénitentiaires européennes adoptées par le Comité des Ministres du Conseil de l'Europe. En matière de procédure pénale, l'art. 3 CPP pose également le principe de la dignité. L'art. 234 al. 1 CPP prévoit qu'en règle générale, la détention provisoire ou pour des motifs de sûreté est exécutée dans des établissements réservés à cet usage et qui ne servent qu'à l'exécution de courtes peines privatives de liberté. L'art. 235 CPP, qui régit l'exécution de la détention, pose le principe général de proportionnalité (al. 1) et précise (al. 5) que les cantons règlent les droits et obligations des prévenus en détention. L'art. 27 LVCPP prévoit que la personne qui a fait l'objet d'une arrestation provisoire peut être retenue dans les cellules des locaux de gendarmerie ou de police durant 48 heures au maximum (al. 1); s'il requiert la mise en détention provisoire auprès du Tribunal des mesures de contrainte, le procureur rend une ordonnance en vue du transfert dans un établissement de détention avant jugement (al. 2). Les art. 10 ss LEDJ fixent de manière précise les conditions de détention avant jugement, notamment les relations avec le monde extérieur (art. 14), les activités hors de la cellule (art. 15) et l'assistance (art. 17). Le règlement applicable au statut des détenus avant jugement (RSDAJ; RSV 340.02.5) s'applique à toutes les personnes adultes qui sont placées dans un établissement pénitentiaire de détention avant jugement du canton de Vaud. Il apporte de nombreuses précisions sur le régime carcéral applicable à ces personnes (ATF 139 IV 41 c. 3.2). c) En l'espèce, les irrégularités de la détention provisoire ont été invoquées pour la première fois par R.________ dans son recours du 6 septembre 2013. Aussi le Tribunal des mesures de contrainte ne pouvait-il pas les constater dans sa décision du 28 août 2013. Toutefois, R.________, qui a été transféré le 9 septembre 2013 à la Prison du Bois-Mermet (cf. PV des opérations), rend à tout le moins crédible l'existence d'une violation des dispositions conventionnelles, légales et réglementaires précitées relatives aux conditions de la détention provisoire. Il appartient à l'autorité saisie de la demande de mise en détention de vérifier que la détention provisoire a lieu dans des conditions acceptables, au regard notamment des art. 234 et 235 al. 1 CPP qui imposent une exécution de la détention provisoire dans des établissements appropriés, et conformes au principe de la proportionnalité, étant précisé qu’une telle constatation ne saurait avoir pour conséquence la remise en liberté du prévenu (ATF 139 IV 41 c. 3.4; TF 1B_39/2013 du 14 février 2013 c. 3.6). Il sied de constater que le Tribunal des mesures de contrainte est le mieux à même d'examiner les griefs invoqués par R.________ (CREP, 4 juin 2013/323 c. 5c et les arrêts cités). Le dossier de la cause devra donc lui être retourné et cette autorité sera invitée à procéder à cet examen afin de constater, le cas échéant, les irrégularités dénoncées par le recourant.</w:t>
      </w:r>
    </w:p>
    <w:p>
      <w:r>
        <w:rPr>
          <w:b/>
        </w:rPr>
        <w:t>E. 4</w:t>
      </w:r>
    </w:p>
    <w:p>
      <w:r>
        <w:t>Il résulte de ce qui précède que le recours doit être admis. L'ordonnance du 28 août 2013 sera maintenue en tant qu'elle ordonne la détention provisoire de R.________ jusqu'au 26 octobre 2013 au plus tard et annulée pour le surplus, le dossier de la cause étant renvoyé au Tribunal des mesures de contrainte pour qu'il procède dans le sens des considérants. Les frais de la procédure de recours, constitués en l’espèce de l’émolument d'arrêt, par 770 fr. (art. 20 al. 1 TFJP [Tarif des frais judiciaires pénaux du 28 septembre 2010; RSV 312.03.1]), et des frais imputables à la défense d’office (art. 422 al. 1 et al. 2 let. a CPP), fixés à 630 fr., plus la TVA, par 50 fr. 40, soit 680 fr. 40, seront laissés à la charge de l'Etat (art. 423 al. 1 CPP). Par ces motifs, la Chambre des recours pénale, statuant à huis clos, prononce : I. Le recours est admis. II. L'ordonnance du 28 août 2013 est maintenue en tant qu'elle ordonne la détention provisoire de R.________ jusqu'au 26 octobre 2013 au plus tard; pour le surplus, le dossier de la cause est renvoyé au Tribunal des mesures de contrainte pour qu'il procède dans le sens des considérants. III. L'indemnité allouée au défenseur d'office de R.________ est fixée à 680 fr. 40 (six cent huitante francs et quarante centimes). IV. Les frais d'arrêt, par 770 fr. (sept cent septante francs), ainsi que l'indemnité due au défenseur d'office de R.________, par 680 fr. 40 (six cent huitante francs et quarante centimes), sont laissés à la charge de l'Etat. V. L'arrêt est exécutoire. Le président :               Le greffier : Du L'arrêt qui précède, dont la rédaction a été approuvée à huis clos, est notifié, par l'envoi d'une copie complète, à : - M. Arnaud Thièry, avocat (pour R.________),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