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760 vom 6. September 2013</w:t>
      </w:r>
    </w:p>
    <w:p>
      <w:r>
        <w:t>VD Tribunal cantonal, 2013-09-06, FR</w:t>
      </w:r>
    </w:p>
    <w:p>
      <w:r>
        <w:rPr>
          <w:b/>
        </w:rPr>
        <w:t xml:space="preserve">Quelle: </w:t>
      </w:r>
      <w:r>
        <w:t>https://mcp.opencaselaw.ch/entscheid/vd_findinfo_D_cision___2013___760</w:t>
      </w:r>
    </w:p>
    <w:p>
      <w:r>
        <w:t>FR: VD_FINDINFO Décision / 2013 / 760 du 6 septembre 2013</w:t>
      </w:r>
    </w:p>
    <w:p>
      <w:r>
        <w:t>IT: VD_FINDINFO Décision / 2013 / 760 del 6 settembre 2013</w:t>
      </w:r>
    </w:p>
    <w:p>
      <w:pPr>
        <w:pStyle w:val="Heading2"/>
      </w:pPr>
      <w:r>
        <w:t>Regeste</w:t>
      </w:r>
    </w:p>
    <w:p>
      <w:r>
        <w:t>PLAIGNANT, QUALITÉ DE PARTIE, ABUS DE CONFIANCE, OBSERVATION DU DÉLAI, PLAINTE PÉNALE, CLASSEMENT DE LA PROCÉDURE | 138 CP, 31 CP, 104 CPP (CH), 115 CPP (CH), 118 al. 1 CPP (CH), 310 CPP (CH), 393 CPP (CH)</w:t>
      </w:r>
    </w:p>
    <w:p>
      <w:pPr>
        <w:pStyle w:val="Heading2"/>
      </w:pPr>
      <w:r>
        <w:t>Erwägungen</w:t>
      </w:r>
    </w:p>
    <w:p>
      <w:r>
        <w:rPr>
          <w:b/>
        </w:rPr>
        <w:t>E. 5</w:t>
      </w:r>
    </w:p>
    <w:p>
      <w:r>
        <w:t>a) En vertu de l’art. 138 ch. 1 al. 2 CP, se rend coupable d’abus de confiance celui qui, sans droit, aura employé à son profit ou au profit d'un tiers des valeurs patrimoniales qui lui avaient été confiées. Pour commettre un abus de confiance au sens de l'art. 138 ch. 1 al. 2 CP, l'auteur doit avoir acquis la possibilité de disposer de valeurs patrimoniales qui appartiennent économiquement à autrui, mais dont, conformément à un accord (exprès ou tacite) ou à un autre rapport juridique, il ne pouvait faire qu'un usage déterminé, à savoir les conserver, les gérer ou les remettre (ATF 133 IV 21 c. 6.2 p. 27). Le comportement délictueux consiste à utiliser les valeurs patrimoniales contrairement aux instructions reçues, en s'écartant de la destination fixée (ATF 129 IV 257 c. 2.2.1 p. 259). Il s’agit d’un élément constitutif objectif de l’infraction (ibid.; TF 6B_160/2012 du 5 avril 2013 c. 2.1; Dupuis et alii, op. cit., n. 28 ad art. 138 CP, p. 754). b) En l’espèce, le trust deed signé le 3 février 2012 prévoyait le transfert des fonds sur le compte privé de R.________, à charge pour lui de les transférer ensuite sur le compte de la société A.________ La somme de 1'645'390 fr. a dès lors été versée sur le compte du prénommé le 14 février 2012. A partir de ce moment, R.________ était seul à pouvoir disposer des fonds. Or, les pièces figurant au dossier permettent d’établir qu’il n’en a reversé qu’une partie, à savoir 1'550'000 fr., le 23 mars 2012, sur le compte de la société A.________ (pièce 5/9). Le prévenu aurait ainsi utilisé les valeurs patrimoniales contrairement aux instructions reçues, ne respectant au demeurant pas les clauses du contrat qui imposaient notamment la signature collective à deux entre le prévenu et le trustee au sein d’A.________, ainsi que la remise des actions de cette dernière à la société Q.________SA. Cela étant, pour retenir l’infraction d’abus de confiance à l’encontre de R.________, faut-il encore que les valeurs patrimoniales litigieuses aient appartenu à autrui. Autrement dit, il convient de déterminer si la recourante demeurait ou non l’ayant droit économique des avoirs transmis, du moins au moment où R.________ était seul à pouvoir en disposer. Certes, les deux intéressés ont conclu un contrat qualifié de « donation ». Toutefois, en l’état, il apparaît douteux que D.________ ait voulu faire don de la quasi-totalité de ses avoirs à son fils et ce, au détriment de son autre enfant. En effet, la thèse de la recourante sur l’existence d’un contrat similaire au contrat fiduciaire apparaît, à ce stade, plus crédible que celle de la donation. Quoi qu’il en soit, l’interprétation de l’acte litigieux nécessite d’instruire plus avant la présente cause. Pour ce motif également, l’ordonnance de non-entrée en matière doit être annulée et la cause renvoyée au Ministère public pour qu’il complète l’instruction.</w:t>
      </w:r>
    </w:p>
    <w:p>
      <w:r>
        <w:rPr>
          <w:b/>
        </w:rPr>
        <w:t>E. 6</w:t>
      </w:r>
    </w:p>
    <w:p>
      <w:r>
        <w:t>a) L’art. 104 al. 1 let. b CPP dispose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considérés comme des lésés les personnes qui ont qualité pour déposer plainte pénale (art. 115 al. 2 CPP). b) En l’espèce, il résulte des considérants développés ci-dessus sous chiffre 5 que la qualité de lésée doit assurément être reconnue à la recourante pour les faits dénoncés dans sa plainte pénale. Partant, c’est à tort que le procureur a dénié à D.________ la qualité de partie plaignante. L’ordonnance du 15 mai 2013 doit donc être réformée en ce sens.</w:t>
      </w:r>
    </w:p>
    <w:p>
      <w:r>
        <w:rPr>
          <w:b/>
        </w:rPr>
        <w:t>E. 7</w:t>
      </w:r>
    </w:p>
    <w:p>
      <w:r>
        <w:t>En définitive, les recours déposés par D.________ le 30 mai 2013 doivent être admis. L’ordonnance du 8 mai 2013 doit être annulée et le dossier de la cause renvoyé au Ministère public de l’arrondissement de Lausanne pour qu’il procède à un complément d’enquête, puis rende une nouvelle décision. Le chiffre I du dispositif de l’ordonnance du 15 mai 2013 doit être réformé en ce sens que la qualité de partie plaignante est accordée à D.________. Les frais de la procédure de recours, constitués en l’espèce du seul émolument d'arrêt, par 1'210 fr. (art. 20 al. 1 TFJP [tarif des frais judiciaires pénaux; RSV 312.03.1]), seront laissés à la charge de l’Etat. S’agissant enfin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Les recours sont admis. II. L’ordonnance du 8 mai 2013 est annulée. III. Le chiffre I du dispositif de l’ordonnance du 15 mai 2013 est réformé en ce sens que la qualité de partie plaignante est accordée à D.________. IV. Le dossier de la cause est renvoyé au Ministère public de l’arrondissement de Lausanne pour qu’il procède à un complément d’enquête, puis rende une nouvelle décision. V. Les frais de la procédure de recours, par 1'210 fr. (mille deux cent dix francs), sont laissés à la charge de l’Etat. VI. Le présent arrêt est exécutoire. Le président :               La greffière : Du L'arrêt qui précède, dont la rédaction a été approuvée à huis clos, est notifié, par l'envoi d'une copie complète, à : - Mme Isabelle Salomé Daïma, avocate (pour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