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739 vom 15. Juli 2013</w:t>
      </w:r>
    </w:p>
    <w:p>
      <w:r>
        <w:t>VD Tribunal cantonal, 2013-07-15, FR</w:t>
      </w:r>
    </w:p>
    <w:p>
      <w:r>
        <w:rPr>
          <w:b/>
        </w:rPr>
        <w:t xml:space="preserve">Quelle: </w:t>
      </w:r>
      <w:r>
        <w:t>https://mcp.opencaselaw.ch/entscheid/vd_findinfo_D_cision___2013___739</w:t>
      </w:r>
    </w:p>
    <w:p>
      <w:r>
        <w:t>FR: VD_FINDINFO Décision / 2013 / 739 du 15 juillet 2013</w:t>
      </w:r>
    </w:p>
    <w:p>
      <w:r>
        <w:t>IT: VD_FINDINFO Décision / 2013 / 739 del 15 luglio 2013</w:t>
      </w:r>
    </w:p>
    <w:p>
      <w:pPr>
        <w:pStyle w:val="Heading2"/>
      </w:pPr>
      <w:r>
        <w:t>Regeste</w:t>
      </w:r>
    </w:p>
    <w:p>
      <w:r>
        <w:t>LÉSION{MÉDECINE}, NÉGLIGENCE, CONSENTEMENT DU LÉSÉ, EXPERTISE MÉDICALE | 12 al. 3 CP, 125 CP, 319 al. 1 CPP (CH)</w:t>
      </w:r>
    </w:p>
    <w:p>
      <w:pPr>
        <w:pStyle w:val="Heading2"/>
      </w:pPr>
      <w:r>
        <w:t>Erwägungen</w:t>
      </w:r>
    </w:p>
    <w:p>
      <w:r>
        <w:rPr>
          <w:b/>
        </w:rPr>
        <w:t>E. 1</w:t>
      </w:r>
    </w:p>
    <w:p>
      <w:r>
        <w:t>Interjeté en temps utile (art. 322 al. 2 et 396 al. 1 CPP [Code de procédure pénale suisse du 5 octobre 2007]) contre une ordonnance de classement du Ministère public (art. 393 al. 1 let. a CPP) par le plaignant qui a qualité pour recourir (cf. art. 382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ou lorsque les éléments constitutifs d’une infraction ne sont pas réunis (let. b), à savoir lorsque le comportement incriminé, quand bien même il serait établi, ne réalise les éléments constitutifs objectifs et subjectif d’aucune infraction pénale (Grädel/Heiniger, op. cit., n. 9 ad art. 319 CPP).</w:t>
      </w:r>
    </w:p>
    <w:p>
      <w:r>
        <w:rPr>
          <w:b/>
        </w:rPr>
        <w:t>E. 3</w:t>
      </w:r>
    </w:p>
    <w:p>
      <w:r>
        <w:t>Le recourant fait valoir qu’une violation des règles de l’art médical ne pouvait pas être écarté en l’état du dossier. a) Selon l'art. 125 al. 1 CP, celui qui, par négligence, aura fait subir à une personne une atteinte à l'intégrité corporelle ou à la santé sera, sur plainte, puni d'une peine privative de liberté de trois ans au plus ou d'une peine pécuniaire. Selon l’art. 12 al. 3 CP, agit par négligence quiconque, par une imprévoyance coupable, commet un crime ou un délit sans se rendre compte des conséquences de son acte ou sans en tenir compte. L’imprévoyance est coupable quand l’auteur de l’acte n’a pas usé des précautions commandées par les circonstances et par sa situation personnelle. Le contenu concret et l'étendue du devoir de diligence s'apprécient au regard des aptitudes et des connaissances de l'individu concerné, selon sa situation personnelle, son âge et son expérience (ATF 135 IV 56 c. 4; ATF 133 IV 158 c. 5.1). En matière médicale, pour déterminer l’étendue de la prudence requise, il faut partir du devoir général qu’a le médecin d’exercer l’art de la guérison selon les principes reconnus de la science médicale et de l’humanité, de tout entreprendre pour guérir son patient, et d’éviter tout ce qui pourrait lui porter préjudice. Les exigences que le devoir de prudence impose au médecin sont fonction des circonstances du cas d’espèce, notamment du genre d’intervention ou de traitement, des risques qui y sont liés, du pouvoir d’appréciation laissé au médecin, des moyens à disposition et de l’urgence de l’acte médical (ATF 130 IV 7 c. 3.3). b) Il est constant que, lors de l’intervention du 24 avril 2012, le premier instrument rotatif utilisé par le prévenu s’est brisé à l’intérieur de la dent et qu’un morceau de l’appareil y est resté, que le dentiste a eu recours à un deuxième instrument qui a connu le même sort dans l’autre racine et qu’enfin, le troisième instrument dont il s’est servi a quant à lui dévié de sa route pour sortir de la racine et atteindre l’os. Le Ministère public a exclu toute violation des règles de l’art médical en retenant que les fractures d’instrument et la « fausse route » résultaient des données anatomiques difficiles particulières au patient (racines mésiales en S dans la partie apicale). Il a toutefois essentiellement fondé cette assertion sur les explications données par le prévenu lui-même, ce qui n’est, pour des raisons évidentes, pas suffisant. Le rapport établi par le médecin-dentiste, conseil de l’assurance du prévenu, conclut certes à l’absence de faute de ce dernier (cf. P. 13/3). La valeur probante d’un tel document, qui rend responsable des faits le seul patient, doit être relativisée, son impartialité étant sujette à caution. En définitive, seul un expert sera en mesure de déterminer si le traitement choisi était indiqué au vu des données anatomiques du plaignant et s’il a été appliqué en conformité des règles de l’art médical. Il appartiendra en conséquence au Ministère public d’ordonner notamment une expertise pour répondre à ces questions (art. 182 CPP).</w:t>
      </w:r>
    </w:p>
    <w:p>
      <w:r>
        <w:rPr>
          <w:b/>
        </w:rPr>
        <w:t>E. 4</w:t>
      </w:r>
    </w:p>
    <w:p>
      <w:r>
        <w:t>Le recourant soutient en outre qu’il n’a pas donné son consentement éclairé à l’intervention. a) Les interventions médicales réalisent les éléments constitutifs objectifs d’une lésion corporelle en tout cas si elles touchent à une partie du corps ou si elles lèsent ou diminuent, de manière non négligeable et au moins temporairement, les aptitudes ou le bien-être physique du patient. Cela vaut même si ces interventions étaient médicalement indiquées et ont été pratiquées dans les règles de l’art (ATF 124 IV 258 c. 2, JT 2001 IV 2). Dans le domaine médical, la justification de l’atteinte ne peut en principe venir que du consentement du patient, exprès ou que l’on peut présumer (ATF 124 IV 258 c. 2, JT 2001 IV 2). Pour être efficace, le consentement doit être éclairé, ce qui suppose que le médecin donne au patient, en termes clairs, intelligibles et aussi complets que possible, une information sur le diagnostic, la thérapie, l’intervention, les chances de guérison, éventuellement sur l’évolution spontanée de la maladie (ATF 133 III 121 c. 4.1.2, ATF 119 II 456 c. 2 ; TF 6B_640/2007 du 11 février 2008 c. 3.1). Des limitations voire des exceptions au devoir d’information du médecin ne sont admises que dans des cas très précis, par exemple lorsqu’il s’agit d’actes courants sans danger particulier et n’entraînant pas d’atteinte définitive ou durable à l’intégrité corporelle ou s’il y urgence confinant à l’état de nécessité (ATF 134 II 235 c. 4 ; ATF 133 III 121 c. 4.1.2, et les références citées ; TF 1B_338/2011 du 22 novembre 2011 c. 3.1). b) En l’espèce, la question du consentement éclairé du patient n’aura de portée que s’il s’avère que les soins ont été prodigués conformément aux règles de l’art médical (ATF 133 III 121 c. 4.1.1, ATF 124 IV 258 c. 2, JT 2001 IV 2; ATF 123 II 577). A ce stade, on peut d’ores et déjà constater que la procureure a retenu l’existence d’un consentement éclairé au motif que le plaignant avait été informé, le 18 avril 2012, puis au cours de l’intervention du 24 avril 2012, de la grande difficulté du traitement (PV aud. 1, p. 2). Or, la portée du devoir d’information du médecin, condition préalable au consentement éclairé du patient à une atteinte à l’intégrité corporelles, va plus loin que la simple annonce dans la difficulté des gestes thérapeutiques à exécuter (ATF 133 III 121). La procureure devra donc, si le traitement s’avère avoir été adapté, compléter l’instruction relativement aux informations délivrées par le dentiste à son patient et au consentement de ce dernier. Dans l’hypothèse où la preuve d’une information suffisante et complète au patient ne serait pas rapportée, il y aura lieu d’examiner la question sous l’angle d’un éventuel consentement hypothètique du patient, suivant les critères définis par la jurisprudence (ATF 133 III 121 c. 4.1.3).</w:t>
      </w:r>
    </w:p>
    <w:p>
      <w:r>
        <w:rPr>
          <w:b/>
        </w:rPr>
        <w:t>E. 5</w:t>
      </w:r>
    </w:p>
    <w:p>
      <w:r>
        <w:t>En définitive, le recours, bien fondé, doit être admis et l’ordonnance de classement annulée. Le dossier de la cause est renvoyé à la Procureure du Ministère public central, division affaires spéciales, contrôle et mineurs, pour qu’elle procède à un complément d’instruction dans le sens des considérants qui précédent, puis rende une nouvelle décision. Les frais de la procédure de recours, constitués en l’espèce de l’émolument d'arrêt, par 770 fr. (art. 20 al. 1 TFJP [tarif des frais judiciaires pénaux; RSV 312.03.1]), seront laissés à la charge de l’Etat, le prévenu n’ayant pas déposé de déterminations expresses tendant au rejet du recours. S’agissant des dépens réclamés par le recourant, il lui appartiendra d’adresser à la fin de la procédure ses prétentions à l’autorité pénale compétente selon l’art. 433 al. 2 CPP (CREP 16 avril 2013/279 c. 4, et les références citées). Par ces motifs, la Chambre des recours pénale, statuant à huis clos, prononce : I. Le recours est admis. II. L’ordonnance du 28 mai 2013 est annulée. III. Le dossier de la cause est renvoyé à la Procureure du Ministère public central, division affaires spéciales, contrôle et mineurs, pour qu’elle procède à un complément d’instruction dans le sens des considérants qui précèdent, puis rende une nouvelle décision. IV. Les frais d’arrêt, par 770 fr. (sept cent septante francs), sont laissés à la charge de l’Etat. V. Le présent arrêt est exécutoire. Le président :               Le greffier : Du L'arrêt qui précède, dont la rédaction a été approuvée à huis clos, est notifié, par l'envoi d'une copie complète, à : - M. Nicolas Rouiller, avocat (pour T.________), - M. José Carlos Coret, avocat (pour G.________), - Ministère public central, et communiqué à :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