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733 vom 27. Mai 2013</w:t>
      </w:r>
    </w:p>
    <w:p>
      <w:r>
        <w:t>VD Tribunal cantonal, 2013-05-27, FR</w:t>
      </w:r>
    </w:p>
    <w:p>
      <w:r>
        <w:rPr>
          <w:b/>
        </w:rPr>
        <w:t xml:space="preserve">Quelle: </w:t>
      </w:r>
      <w:r>
        <w:t>https://mcp.opencaselaw.ch/entscheid/vd_findinfo_D_cision___2013___733</w:t>
      </w:r>
    </w:p>
    <w:p>
      <w:r>
        <w:t>FR: VD_FINDINFO Décision / 2013 / 733 du 27 mai 2013</w:t>
      </w:r>
    </w:p>
    <w:p>
      <w:r>
        <w:t>IT: VD_FINDINFO Décision / 2013 / 733 del 27 maggio 2013</w:t>
      </w:r>
    </w:p>
    <w:p>
      <w:pPr>
        <w:pStyle w:val="Heading2"/>
      </w:pPr>
      <w:r>
        <w:t>Regeste</w:t>
      </w:r>
    </w:p>
    <w:p>
      <w:r>
        <w:t>MISE EN LIBERTÉ PROVISOIRE, LOI FÉDÉRALE SUR LES STUPÉFIANTS ET LES SUBSTANCES PSYCHOTROPES, RISQUE DE FUITE, RISQUE DE RÉCIDIVE | 221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c) En l’espèce, c’est à juste titre que le recourant ne conteste pas l’existence de soupçons suffisants à son encontre. Interpellé à son domicile en possession de stupéfiants, il a admis une partie des faits. Par ailleurs, le rapport final de la police municipale de Lausanne du 22 juillet 2013 détaille précisément les mises en cause dont A.T.________ fait l’objet, lesquelles démontrent un important trafic de stupéfiants dans lequel il a eu une participation active (P. 67, p. 4 ; P. 67, p. 14). Au vu des éléments qui précèdent, il existe des soupçons de culpabilité suffisants à l’encontre du recourant.</w:t>
      </w:r>
    </w:p>
    <w:p>
      <w:r>
        <w:rPr>
          <w:b/>
        </w:rPr>
        <w:t>E. 3</w:t>
      </w:r>
    </w:p>
    <w:p>
      <w:r>
        <w:t>Le recourant conteste l’existence d’un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quand bien même le prévenu est au bénéfice d’un permis B valable jusqu’en mai 2014, il se trouve dans une situation familiale précaire. Il y a lieu de rappeler ici que A.T.________ vivait séparé de son épouse au moment de son interpellation (PV aud. du recourant, du 29 avril 2013). En outre, au vu des explications contenues dans le rapport final de la police municipale de Lausanne du 22 juillet 2013, force est de constater que l’intérêt du prévenu pour sa fille née en 2009 est tout relatif, puisque ce dernier n’aurait pas hésité à l’emmener sur les lieux de ses transactions, à plusieurs reprises, selon la déclaration de certains toxicomanes (P. 64, p. 5). Certes, le recourant invoque avoir un emploi pour lequel il serait rémunéré entre 1'100 fr. et 1'200 fr. (PV aud. 20, R. 24), mais ses dires ne sont étayés par aucune pièce au dossier. A cela s’ajoute encore, la sanction importante à laquelle A.T.________ est exposé au vu de gravité de l’activité délictueuse établie par le rapport final de la police de sûreté du 22 juillet 2013 (P. 67). Au vu de qui précède, force est de constater qu’il existe un risque concret que le recourant tente de se soustraire aux poursuites pénales en cas de libération. Au vu de ces éléments, le risque de fuite apparaît non seulement possible, mais également probable (TF 1B_414/2011 du 5 septembre 2011 c. 3.1).</w:t>
      </w:r>
    </w:p>
    <w:p>
      <w:r>
        <w:rPr>
          <w:b/>
        </w:rPr>
        <w:t>E. 4</w:t>
      </w:r>
    </w:p>
    <w:p>
      <w:r>
        <w:t>S’agissant du risque de réitération,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p. 21; ATF 135 I 71 c. 2.3 p. 73; ATF 133 I 270 c. 2.2 p. 276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Cela étant, la mise en danger sérieuse de la sécurité d'autrui par le biais d'une menace de crime ou de délit grave peut se rapporter en principe à des biens juridiques de tous types, notamment la santé publique s'agissant d'infractions qualifiées à la LStup (cf. ATF 137 IV 84 c. 3.5 et 3.7, JT 2011 IV 325).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pp. 18 ss; TF 1B_731/2011 du 16 janvier 2012 c. 3.1; TF 1B_133/2011 du 12 avril 2011 c. 4.7).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En l’espèce, l’activité délictueuse du recourant est pratiquement établie et une grande partie des faits ne sont d’ailleurs pas contestés. A.T.________ s’est ainsi adonné au trafic de stupéfiants depuis 2009 jusqu’à son arrestation, soit pendant plus de 4 ans. Il s’agit en outre d’une infraction qualifiée à la LStup. La situation familiale du prévenu, on l’a vu, est précaire. L’existence d’un emploi n’est pas établie. Quand bien même cet emploi existerait, il ne rapporterait qu’un revenu très modéré au prévenu (1'100 fr. à 1'200 fr. [PV aud. du recourant du 19 mars 2013, R. 5]), sans aucun doute insuffisant pour empêcher A.T.________ de récidiver. Le risque de récidive est ainsi manifeste. Les conditions de la détention provisoire étant alternatives, la question d’un éventuel risque de collusion peut rester ouverte, dans la mesure où les conditions du maintien en détention sont réalisées par les risques de fuite et de réitération. En outre, les mesures de substitution proposées par la défense ne reposent sur aucun élément concret et ne sont, en l’état, pas de nature à prévenir le risque de fuite.</w:t>
      </w:r>
    </w:p>
    <w:p>
      <w:r>
        <w:rPr>
          <w:b/>
        </w:rPr>
        <w:t>E. 5</w:t>
      </w:r>
    </w:p>
    <w:p>
      <w:r>
        <w:t>Enfin,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A.T.________ est détenu depuis le 5 mars 2013, soit depuis près de six mois. Il est mis en cause pour infraction grave à la LStup, passible d’une peine privative de liberté d’un an au moins (art. 19 al. 2 LStup). Les éléments au dossier démontrent une activité délictueuse de grande ampleur ayant débuté en 2009. Dans ces conditions, le recourant encourt une peine d’une durée sensiblement supérieure à celle de la détention subie jusqu’à maintenant si les faits sont avérés. Par conséquent, le principe de proportionnalité des intérêts en présence demeure respecté.</w:t>
      </w:r>
    </w:p>
    <w:p>
      <w:r>
        <w:rPr>
          <w:b/>
        </w:rPr>
        <w:t>E. 6</w:t>
      </w:r>
    </w:p>
    <w:p>
      <w:r>
        <w:t>Il résulte de ce qui précède, que le recours, manifestement mal fondé, doit être rejeté sans autres échanges d’écritures. Les frais de la procédure de recours, constitués en l’espèce de l’émolument d'arrêt, par 770 fr. (art. 20 al. 1 TFJP [tarif des frais judiciaires pénaux; RSV 312.03.1]), et des frais imputables à la défense d’office (art. 422 al. 1 et 2 let. a CPP), fixés à 450 fr., plus la TVA par 36 fr. 80, soit 486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A.T.________ est fixée à 486 fr. (quatre cent huitante-six francs). IV. Les frais d’arrêt, par 770 fr. (sept cent septante francs), ainsi que l’indemnité due au défenseur d’office de A.T.________, par 486 fr. (quatre cent huitante-six francs), sont mis à la charge de ce dernier. V. Le remboursement à l’Etat de l’indemnité allouée au chiffre III ci-dessus ne sera exigible que pour autant que la situation économique de A.T.________ se soit améliorée. VI. Le présent arrêt est exécutoire. Le président :               La greffière : Du L'arrêt qui précède, dont la rédaction a été approuvée à huis clos, est notifié, par l'envoi d'une copie complète, à : - Mme Alexa Landert, avocate (pour A.T.________), - Ministère public central, et communiqué à : - M. le Président du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