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720 vom 4. Juni 2013</w:t>
      </w:r>
    </w:p>
    <w:p>
      <w:r>
        <w:t>VD Tribunal cantonal, 2013-06-04, FR</w:t>
      </w:r>
    </w:p>
    <w:p>
      <w:r>
        <w:rPr>
          <w:b/>
        </w:rPr>
        <w:t xml:space="preserve">Quelle: </w:t>
      </w:r>
      <w:r>
        <w:t>https://mcp.opencaselaw.ch/entscheid/vd_findinfo_D_cision___2013___720</w:t>
      </w:r>
    </w:p>
    <w:p>
      <w:r>
        <w:t>FR: VD_FINDINFO Décision / 2013 / 720 du 4 juin 2013</w:t>
      </w:r>
    </w:p>
    <w:p>
      <w:r>
        <w:t>IT: VD_FINDINFO Décision / 2013 / 720 del 4 giugno 2013</w:t>
      </w:r>
    </w:p>
    <w:p>
      <w:pPr>
        <w:pStyle w:val="Heading2"/>
      </w:pPr>
      <w:r>
        <w:t>Regeste</w:t>
      </w:r>
    </w:p>
    <w:p>
      <w:r>
        <w:t>CLASSEMENT DE LA PROCÉDURE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Le recours à la Chambre des recours pénale, au sens de l’art. 393 al. 1 let. a CPP, est également ouvert contre la décision du procureur de suspendre l’instruction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 CREP 23 juin 2012/440; CREP 3 avril 2012/248). Interjeté dans le délai légal auprès de l’autorité compétente par la partie plaignante qui a qualité pour recourir (cf. art. 386 al. 1 CPP), le recours est recevable.</w:t>
      </w:r>
    </w:p>
    <w:p>
      <w:r>
        <w:rPr>
          <w:b/>
        </w:rPr>
        <w:t>E. 2</w:t>
      </w:r>
    </w:p>
    <w:p>
      <w:r>
        <w:t>a) En l’espèce, la recourante conteste le classement de la procédure dirigée contre J.________. Elle soutient que le rapport de police contiendrait un indice de culpabilité dès lors qu’il révèle que la prévenue aurait parlé d’elle-même de pulls volés alors que l’inspecteur n’en aurait pas fait état lors de l’audition. Elle estime d’autre part que la production de jugements rendus en France contre la prévenue pour abus de confiance, l’interpellation du Service de la population de Genève aux fins de connaître les employeurs annoncés de J.________, de manière à ce que ceux-ci puissent être également interpellés sur leurs « mésaventures » avec la prévenue, ainsi que la production d’éléments relatifs à une enquête diligentée à Genève contre la prévenue pour escroquerie, seraient de nature à étayer les soupçons existants à son encontre b)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Aux termes de l'article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(Cornu, in: Kuhn/Jeanneret [éd.], Commentaire romand, Code de procédure pénale suisse, Bâle 2011, n. 19 ad art. 318 CPP). c) En l’espèce, le rapport de police mentionne effectivement que J.________ aurait parlé elle-même des pulls qu’elle n’aurait pas pris sans que l’inspecteur ne lui en ait fait part lors de l’audition (P. 15/1 p. 5). Il ressort cependant de l’audition de J.________ du 18 septembre 2012 que cette dernière a en réalité répondu de manière cohérente à une question de l’inspecteur qui portait précisément sur la disparition d’effets, soit de sacs, d’habits et de lunettes, en expliquant que la plaignante l’avait à deux reprises interpellée au sujet de la disparition d’un polo de golf et d’un pull en coton (cf. PV aud. 3 p. 3). Dans l’hypothèse où la remarque faite par l’inspecteur dans son rapport du 5 mars 2013 se rapporterait à des propos recueillis hors audition (cf. P. 15/1 p. 5), ceux-ci seraient alors inexploitables au sens de l’art. 141 al. 2 CPP. Pour le reste, et contrairement à ce que soutient la recourante, la légitimité de l’appréciation anticipée des preuves était déjà admise par le Tribunal fédéral avant l’entrée en vigueur du nouveau code de procédure pénale, lequel l’a désormais clairement énoncé à l’art. 318 al. 2 CPP (Bénédict/Treccani, in: Kuhn/Jeanneret [éd.], op. cit., n. 1 ss ad art. 139 CPP). Par ailleurs, aucune des mesures d’instruction requises ne serait de nature à établir les vols que la recourante souhaite imputer à J.________. En effet, quand bien même les preuves sollicitées établiraient d’éventuels antécédents de la prévenue, ceux-ci ne sauraient fonder des soupçons suffisants justifiant une mise en accusation pour les faits dénoncés par la recourante, en l’absence de tout autre élément de preuve. En définitive, la décision du Ministère public de l’arrondissement de l’Est vaudois de classer la procédure dirigée contre J.________ pour vol échappe à la critique.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de la recourante, qui succombe (art. 428 al. 1 CPP). Par ces motifs, la Chambre des recours pénale, statuant à huis clos, prononce : I. Le recours est rejeté. II. L’ordonnance du 4 juin 2013 est confirmée. III. Les frais d’arrêt, par 660 fr. (six cent soixante francs), sont mis à la charge de G.________. IV. Le présent arrêt est exécutoire. Le président :               La greffière : Du L'arrêt qui précède, dont la rédaction a été approuvée à huis clos, est notifié, par l'envoi d'une copie complète, à : - M. Yves Hofstetter, avocat (pour G.________), - M. Michel Dupuis, avocat (pour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