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2013 / 715 vom 17. April 2013</w:t>
      </w:r>
    </w:p>
    <w:p>
      <w:r>
        <w:t>VD Tribunal cantonal, 2013-04-17, FR</w:t>
      </w:r>
    </w:p>
    <w:p>
      <w:r>
        <w:rPr>
          <w:b/>
        </w:rPr>
        <w:t xml:space="preserve">Quelle: </w:t>
      </w:r>
      <w:r>
        <w:t>https://mcp.opencaselaw.ch/entscheid/vd_findinfo_D_cision___2013___715</w:t>
      </w:r>
    </w:p>
    <w:p>
      <w:r>
        <w:t>FR: VD_FINDINFO Décision / 2013 / 715 du 17 avril 2013</w:t>
      </w:r>
    </w:p>
    <w:p>
      <w:r>
        <w:t>IT: VD_FINDINFO Décision / 2013 / 715 del 17 aprile 2013</w:t>
      </w:r>
    </w:p>
    <w:p>
      <w:pPr>
        <w:pStyle w:val="Heading2"/>
      </w:pPr>
      <w:r>
        <w:t>Regeste</w:t>
      </w:r>
    </w:p>
    <w:p>
      <w:r>
        <w:t>MISE EN DANGER DE LA VIE D'AUTRUI{ART. 129 CP}, CONSCIENCE, AGGRAVATION DE LA PEINE, INTENTION | 129 CP, 144 CP, 19 al. 2 CP, 47 CP, 398 al. 2 CPP (CH)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de la cause, les frais de la procédure d’appel, par 2'240 fr., y compris l’indemnité allouée à son défenseur d’office Me Tiphanie Chappuis, par 2'833.40, soit au total 5'073.40, sont mis par quatre cinquième, soit 4'058 fr. 70 à la charge de A.G.________, le solde, par 1'014.70 étant laissé à la charge de l’Etat. A.G.________ ne sera tenue de rembourser à l'Etat le montant de l'indemnité en faveur de son défenseur d'office prévue ci-dessus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