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696 vom 5. Juni 2013</w:t>
      </w:r>
    </w:p>
    <w:p>
      <w:r>
        <w:t>VD Tribunal cantonal, 2013-06-05, FR</w:t>
      </w:r>
    </w:p>
    <w:p>
      <w:r>
        <w:rPr>
          <w:b/>
        </w:rPr>
        <w:t xml:space="preserve">Quelle: </w:t>
      </w:r>
      <w:r>
        <w:t>https://mcp.opencaselaw.ch/entscheid/vd_findinfo_D_cision___2013___696</w:t>
      </w:r>
    </w:p>
    <w:p>
      <w:r>
        <w:t>FR: VD_FINDINFO Décision / 2013 / 696 du 5 juin 2013</w:t>
      </w:r>
    </w:p>
    <w:p>
      <w:r>
        <w:t>IT: VD_FINDINFO Décision / 2013 / 696 del 5 giugno 2013</w:t>
      </w:r>
    </w:p>
    <w:p>
      <w:pPr>
        <w:pStyle w:val="Heading2"/>
      </w:pPr>
      <w:r>
        <w:t>Regeste</w:t>
      </w:r>
    </w:p>
    <w:p>
      <w:r>
        <w:t>CLASSEMENT DE LA PROCÉDURE, CONTRAINTE{DROIT PÉNAL}, VIOL | 181 CP, 190 al. 1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La recourante fait grief au Procureur d'avoir violé l'art. 318 al. 2 CPP en rejetant les réquisitions de preuve qu'elle avait présentées par courrier du 19 octobre 2012. a) Aux termes de l'article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Commentaire romand, Code de procédure pénale suisse, Bâle 2011, n. 19 ad art. 318 CPP; TF 1B_17/2013 du 12 février 2013 c. 1.2; CREP 6 février 2013/236 c. 2a et b). b) En l’espèce, il y a lieu d'examiner les différentes réquisitions de preuve présentées par la recourante. Elle a requis l’audition de son époux, de ses deux frères qui sont venus la chercher le 1 er mai 2009, d’O.________, un client habitué du café où elle travaillait à [...], d’un ancien compagnon, et enfin de la fille du prévenu. Aucune de ces personnes n’a assisté aux faits dénoncés par la plaignante tant en ce qui concerne les viols que les contraintes ou menaces, les faits incriminés s’étant produits à huis clos. Si O.________ pourra confirmer qu’il a eu les pneus de sa voiture crevés, ce qu’a également attesté la patronne du café lors de son audition, ceci ne démontre pas encore que le prévenu en serait l’auteur ni qu’il exercerait de la contrainte sur la plaignante. La plaignante a également requis la production du dossier du Service de la population la concernant, du dossier pénal instruit par le Ministère public du Bas-Valais relatif à la plainte déposée par son époux contre le prévenu, du dossier pénal relatif à la plainte déposée par le prénommé O.________ contre le prévenu, ainsi que la liste des appels entrants sur son numéro de téléphone portable. La recourante a également requis que toutes les démarches utiles soient entreprises afin de déterminer les auteurs des diverses lettres de menaces anonymes qu’elle a reçues. L’ensemble de ces réquisitions ne sont pas en relation directe avec les accusations portées par la recourante, soit les viols et la contrainte, et n’apporteraient aucun élément supplémentaire permettant d’établir la culpabilité du prévenu pour ces faits. En conséquence, la décision du Procureur d'écarter ces réquisitions de preuve échappe à la critique.</w:t>
      </w:r>
    </w:p>
    <w:p>
      <w:r>
        <w:rPr>
          <w:b/>
        </w:rPr>
        <w:t>E. 3</w:t>
      </w:r>
    </w:p>
    <w:p>
      <w:r>
        <w:t>La recourante soutient que le classement de la procédure violerait le principe « in dubio pro duriore » applicable à ce stade de la procédure.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les déclarations de la recourante sont certes en contradiction avec celles du prévenu, celui-ci admettant avoir entretenu uniquement des relations sexuelles consentantes avec la recourante. Toutefois, contrairement à ce que soutient la recourante, les déclarations des témoins entendus par le Procureur ne permettent pas de fonder un soupçon suffisant sur le fait que le prévenu l’aurait violée et contrainte. Si S.________, l’ancienne patronne de la recourante, a confirmé que celle-ci avait résilié précipitamment son contrat de travail parce qu’elle se sentait menacée, elle n’en connaissait cependant pas les raisons. Le témoin n’a par ailleurs pas constaté un comportement étrange de la part du prévenu à l’égard de la recourante quand il venait prendre un café au restaurant. La recourante n’a par ailleurs pas fait établir un constat médical après les violences qu’elle aurait subies qu’il s’agisse des viols ou des coups qui auraient été portés par le prévenu. Les faits se sont produits à huis clos et la recourante ne s’est confiée à personne, à l’exception de son époux et de la femme du prévenu qui a contesté avoir été mise dans la confidence; il s’agit ainsi de la parole de l’un contre celle de l’autre. Comme l’a retenu le Procureur à juste titre, les faits sont irrémédiablement contradictoires, aucune mesure d’instruction complémentaire ne permettant de confirmer ou d’infirmer l’une ou l’autre version (cf. c. 2b supra). Enfin, aucun élément au dossier ne permet de retenir un comportement illégal de la part du prévenu. S’agissant des lettres anonymes produites, des pneus crevés et des menaces, si tant est que le prévenu en soit l’auteur ou le commanditaire, ce qui n’est d’ailleurs pas prouvé, ces comportements ne permettraient pas de démontrer les viols qu’il aurait commis quelques années auparavant ou la contrainte exercée sur la recourante. Tout au plus, ils attesteraient de la jalousie et de la possessivité du prévenu, qui peuvent tout aussi bien résulter d’une ancienne relation consentie. Enfin, le certificat médical du 15 octobre 2012 produit par la recourante atteste certes que celle-ci souffre d’un stress post-traumatique, d’un trouble dépressif récurrent et d’un trouble panique et évalue son incapacité de travail à 100% depuis novembre 2010 (P. 39/5). Toutefois, ces troubles certifiés plus de dix ans après les faits dont la plaignante aurait été victime ne démontrent pas la véracité des viols et de la contrainte, ces troubles pouvant trouver leur origine dans d’autres traumatismes intervenus dans l’intervalle. Au vu de l’ensemble des éléments qui précèdent, un acquittement apparaît donc nettement plus vraisemblable qu’une condamnation, raison pour laquelle la décision du Ministère public de l’arrondissement de la Côte de classer la procédure échappe à la critique.</w:t>
      </w:r>
    </w:p>
    <w:p>
      <w:r>
        <w:rPr>
          <w:b/>
        </w:rPr>
        <w:t>E. 4</w:t>
      </w:r>
    </w:p>
    <w:p>
      <w:r>
        <w:t>Il résulte de ce qui précède que le recours, mal fondé, doit être rejeté et l’ordonnance confirmée. Les frais de la procédure de recours, constitués en l’espèce de l’émolument d'arrêt (art. 422 al. 1 CPP), par 990 fr. (art. 20 al. 1 TFJP [tarif des frais judiciaires pénaux; RSV 312.03.1]), ainsi que des indemnités dues au conseil d’office de la plaignante et au défenseur d’office du prévenu (art. 422 al. 1 et 2 let. a CPP), seront mis à la charge de la recourante, qui succombe (art. 428 al. 1 CPP). Au vu de la cause et de la procédure de recours, il convient d’allouer une indemnité au conseil d’office de A.N.________, par 630 fr., plus la TVA par 50 fr. 40, soit au total 680 fr. 40, et au défenseur d’office de W.________, par 450 fr., plus la TVA par 36 fr., soit 486 fr. au total. Le remboursement à l’Etat des frais de la procédure de recours et des indemnités allouées au conseil juridique gratuit de la recourante et au défenseur d’office du prévenu ne sera exigible que pour autant que la situation économique de la recourante se soit améliorée (art. 135 al. 4 CPP, par renvoi de l'art. 138 al. 1 CPP; CREP 24 janvier 2013/77 c. 6; CREP 22 septembre 2011/435 c. 5b). Par ces motifs, la Chambre des recours pénale, statuant à huis clos prononce : I. Le recours est rejeté. II. L’ordonnance du 28 mars 2013 est confirmée. III. L'indemnité allouée au conseil juridique gratuit de A.N.________ est fixée à 680 fr. 40 (six cent huitante francs et quarante centimes). IV. L'indemnité allouée au défenseur d’office de W.________ est fixée à 486 fr. (quatre cent huitante-six francs). V. Les frais d'arrêt, par 990 fr. (neuf cent nonante francs), ainsi que les indemnités dues au conseil juridique gratuit de A.N.________, par 680 fr. 40 (six cent huitante francs et quarante centimes), et au défenseur d’office de W.________, par 486 fr. (quatre cent huitante-six francs), sont mis à la charge de la recourante. VI. La recourante est tenue de rembourser à l'Etat les indemnités allouées aux chiffres III et IV ci-dessus ainsi que les frais fixés au chiffre V ci-dessus dès que sa situation financière le permettra. VII. Le présent arrêt est exécutoire. Le vice-président : La greffière : Du L'arrêt qui précède, dont la rédaction a été approuvée à huis clos, est notifié, par l'envoi d'une copie complète, à : - Me Mélanie Freymond, avocate (pour A.N.________), - Me Eric Stauffacher,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