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693 vom 5. September 2012</w:t>
      </w:r>
    </w:p>
    <w:p>
      <w:r>
        <w:t>VD Tribunal cantonal, 2012-09-05, FR</w:t>
      </w:r>
    </w:p>
    <w:p>
      <w:r>
        <w:rPr>
          <w:b/>
        </w:rPr>
        <w:t xml:space="preserve">Quelle: </w:t>
      </w:r>
      <w:r>
        <w:t>https://mcp.opencaselaw.ch/entscheid/vd_findinfo_D_cision___2013___693</w:t>
      </w:r>
    </w:p>
    <w:p>
      <w:r>
        <w:t>FR: VD_FINDINFO Décision / 2013 / 693 du 5 septembre 2012</w:t>
      </w:r>
    </w:p>
    <w:p>
      <w:r>
        <w:t>IT: VD_FINDINFO Décision / 2013 / 693 del 5 settembre 2012</w:t>
      </w:r>
    </w:p>
    <w:p>
      <w:pPr>
        <w:pStyle w:val="Heading2"/>
      </w:pPr>
      <w:r>
        <w:t>Regeste</w:t>
      </w:r>
    </w:p>
    <w:p>
      <w:r>
        <w:t>MODIFICATION DES CIRCONSTANCES, NOUVEAU MOYEN DE FAIT, REJET DE LA DEMANDE, QUALITÉ POUR AGIR ET RECOURIR, CLASSEMENT DE LA PROCÉDURE, RÉOUVERTURE DE L'ENQUÊTE | 323 CPP (CH)</w:t>
      </w:r>
    </w:p>
    <w:p>
      <w:pPr>
        <w:pStyle w:val="Heading2"/>
      </w:pPr>
      <w:r>
        <w:t>Erwägungen</w:t>
      </w:r>
    </w:p>
    <w:p>
      <w:r>
        <w:rPr>
          <w:b/>
        </w:rPr>
        <w:t>E. 1</w:t>
      </w:r>
    </w:p>
    <w:p>
      <w:r>
        <w:t>a) Aux termes de l’art. 393 al. 1 let. a CPP (Code de procédure pénale suisse du 5 octobre 2007, RS 312.0), le recours est recevable contre les décisions et les actes de procédure du ministère public. Une décision du ministère public ordonnant ou refusant d’ordonner la reprise d’une procédure préliminaire close par une ordonnance de classement entrée en force (art. 323 al. 1 CPP) est ainsi susceptible de recours selon les art. 393 ss CPP (Grädel/Heiniger, in: Niggli/Heer/Wiprächtiger [éd.], Basler Kommentar, Schweizerische Strafprozessordnung, Jugendstrafprozessordnung, Bâle 2011, n. 22 ad art. 323 CPP; Landshut, in: Donatsch/Hansjakob/Lieber [éd.], Kommentar zur Schweizerischen Strafprozessordnung, 2010, n. 30 ad art. 323 CPP; CREP 30 mai 2011/193 c. 1; cf. Stephenson/Thiriet, in: Niggli/Heer/Wiprächtiger [éd.], op. cit., n. 10 ad art. 393 CPP; Roth, in: Kuhn/Jeanneret [éd.], Commentaire romand, Code de procédure pénale suisse, Bâle 2011, n. 11 ad art. 323 CPP).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 b) Toute personne lésée par la décision de refus de reprise de la cause ayant qualité pour recourir (Schmid, Schweizerische Strafprozessordnung, Praxiskommentar, Zurich 2009, n. 13 ad art. 323 CPP), il y a lieu d’entrer en matière sur le recours, qui a été interjeté en temps utile devant l’autorité compétente et satisfait aux conditions de forme posées par l’art. 385 al. 1 CPP.</w:t>
      </w:r>
    </w:p>
    <w:p>
      <w:r>
        <w:rPr>
          <w:b/>
        </w:rPr>
        <w:t>E. 2</w:t>
      </w:r>
    </w:p>
    <w:p>
      <w:r>
        <w:t>a) En vertu de l’art. 323 al. 1 CPP,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b) Dès lors qu’une ordonnance de classement entrée en force équivaut à un acquittement (art. 320 al. 4 CPP), l’art. 323 CPP, nonobstant le titre de « reprise de la procédure préliminaire », prévoit en réalité une forme de révision, ouverte uniquement aux conditions restrictives posées par cette disposition (Roth, in: Kuhn/Jeanneret [éd.], op. cit., nn. 1 et 2 ad art. 323 CPP; Grädel/ Heiniger, op. cit., n. 1 ad art. 323 CPP). Par ailleurs, les conditions énumérées à l’art. 323 al. 1 CPP sont cumulatives (Roth, op. cit., n. 16 ad art. 323 CPP). La définition des faits et moyens de preuves nouveaux peut être reprise de celle donnée en matière de révision. Les faits et moyens de preuves sont nouveaux lorsque le juge n’en avait pas connaissance au moment du jugement, c’est-à-dire qu’ils ne lui ont pas été soumis sous quelque forme que ce soit, fût-ce à titre d’hypothèse (s’agissant d’un fait) ou de proposition complémentaire (s’agissant d’un moyen) (Roth, op. cit., n. 13 ad art. 323 CPP ; cf. également Piquerez, Traité de procédure pénale suisse, 2 e éd., Zurich 2006, n. 1103 p. 696 et nn. 1538 ss pp. 911 ss). Si un élément n’a pas été instruit alors qu’il ressortait déjà du dossier, il ne saurait y avoir un fait ou un moyen de preuve nouveau (Landshut, in: Donatsch/Hansjakob/Lieber [éd.], op. cit., nn. 21 ss ad art. 323 CPP p. 1615; CREP 30 mai 2011/193). c) En l’occurrence, les faits et moyens avancés par les recourantes ne sont pas nouveaux. Le premier dossier comportait déjà des pièces établissant l’existence de la transaction entre T.________Sàrl et E.________SA ainsi que la différence entre la valeur des actifs et le prix finalement convenus. En effet, le procès-verbal du 26 octobre 2010 établi par A.S.________ fait clairement référence au prix de vente de 300'000 fr. et à la valeur déterminée par les experts, soit 527'966 francs (P. 11, pp. 7 ss). Ce dernier montant est également cité dans le document intitulé « liste des biens mobiliers à la valeur vénale estimative selon l’art. 725 CO valeur de liquidation à fin octobre 2010 » (P. 11, pp. 26 ss) et dans la lettre de l’agent d’affaires breveté H.________ du 9 décembre 2010 adressée à la Banque cantonale vaudoise (P. 11, pp. 49 ss). Un second courrier de l’agent d’affaires breveté prénommé du 9 décembre 2010 adressé au Président du Tribunal d’arrondissement de La Côte mentionne également la valeur des actifs libres à hauteur de 527'966 fr. et rappelle l’offre de 300'000 fr. (P. 11, pp. 12 ss), stipulée dans le contrat de vente du 1 er novembre 2010 entre T.________Sàrl et E.________SA (P. 11, p. 11). En d’autres termes, le Ministère public avait parfaitement connaissance des faits avancés par les recourantes lorsqu’il a rendu son ordonnance de classement en septembre 2012, de sorte qu’il n’y avait effectivement pas matière à reprendre l’instruction contre A.S.________.</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550 fr. (art. 20 al. 1 TFJP [Tarif des frais judiciaires pénaux du 28 septembre 2010, RSV 312.03.1]), seront mis à la charge des recourantes, qui succombent (art. 428 al. 1 CPP), à parts égales et solidairement entre elles (art. 418 al. 1 et 2 CPP). Par ces motifs, la Chambre des recours pénale, statuant à huis clos, prononce : I. Le recours est rejeté. II. La décision du 10 juin 2013 est confirmée. III. Les frais de la procédure de recours, par 550 fr. (cinq cent cinquante francs), sont mis à la charge des recourantes, à parts égales et solidairement entre elles. IV. Le présent arrêt est exécutoire. Le président :               La greffière : Du L'arrêt qui précède, dont la rédaction a été approuvée à huis clos, est notifié, par l'envoi d'une copie complète, à : - M. Philippe Vogel, avocat (pour X.________, B._________, D._________ et L.________SA), - M. A.S.________,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