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689 vom 25. Juli 2013</w:t>
      </w:r>
    </w:p>
    <w:p>
      <w:r>
        <w:t>VD Tribunal cantonal, 2013-07-25, FR</w:t>
      </w:r>
    </w:p>
    <w:p>
      <w:r>
        <w:rPr>
          <w:b/>
        </w:rPr>
        <w:t xml:space="preserve">Quelle: </w:t>
      </w:r>
      <w:r>
        <w:t>https://mcp.opencaselaw.ch/entscheid/vd_findinfo_D_cision___2013___689</w:t>
      </w:r>
    </w:p>
    <w:p>
      <w:r>
        <w:t>FR: VD_FINDINFO Décision / 2013 / 689 du 25 juillet 2013</w:t>
      </w:r>
    </w:p>
    <w:p>
      <w:r>
        <w:t>IT: VD_FINDINFO Décision / 2013 / 689 del 25 luglio 2013</w:t>
      </w:r>
    </w:p>
    <w:p>
      <w:pPr>
        <w:pStyle w:val="Heading2"/>
      </w:pPr>
      <w:r>
        <w:t>Regeste</w:t>
      </w:r>
    </w:p>
    <w:p>
      <w:r>
        <w:t>ESCROQUERIE, ATTEINTE ASTUCIEUSE AUX INTÉRÊTS PÉCUNIAIRES, QUALITÉ POUR RECOURIR, CLASSEMENT DE LA PROCÉDURE | 146 CP, 319 CPP (CH), 382 al. 1 CPP (CH), 393 al. 1 let. a CPP (CH)</w:t>
      </w:r>
    </w:p>
    <w:p>
      <w:pPr>
        <w:pStyle w:val="Heading2"/>
      </w:pPr>
      <w:r>
        <w:t>Erwägungen</w:t>
      </w:r>
    </w:p>
    <w:p>
      <w:r>
        <w:rPr>
          <w:b/>
        </w:rPr>
        <w:t>E. 1</w:t>
      </w:r>
    </w:p>
    <w:p>
      <w:r>
        <w:t>CPP), de sorte qu’il est recevable en la forme.</w:t>
      </w:r>
    </w:p>
    <w:p>
      <w:r>
        <w:rPr>
          <w:b/>
        </w:rPr>
        <w:t>E. 2</w:t>
      </w:r>
    </w:p>
    <w:p>
      <w:r>
        <w:t>a) Aux termes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(art. 115 CPP) qui s'est constitué partie plaignante sur le plan pénal (art. 118 al. 1 et 119 al. 2 let. a CPP) est habilité à former appel pour ce qui concerne la culpabilité du prévenu, indépendamment de la prise de conclusions civiles. Il suffit d’être lésé, c'est-à-dire une personne dont les droits ont été touchés directement par une infraction, un dommage n’étant toutefois pas nécessaire (ATF 139 IV 78 c. 3, spéc. 3.3.3). Dès lors que la partie plaignante est habilitée à former appel sur la culpabilité, on en déduit qu'elle dispose d'un intérêt au sens de l'art.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139 IV 84 c. 1.1). Ce raisonnement s’applique par analogie au recours de la partie plaignante contre une ordonnance par laquelle le procureur ordonnerait le classement de la procédure dirigée contre un prévenu pour certaines infractions, dès lors que l’art. 382 al. 1 CPP s’applique aussi bien à la procédure d’appel qu’à la procédure de recours. b) Toutefois,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 6 et 8 ad art. 115 CPP et les arrêts cités; Goran Mazzuchelli/Mario Postizzi, in: Niggli/Heer/Wiprächtiger (éd.), Basler Kommentar, Schweizerische Strafprozessordnung, Jugendstrafprozessordnung, Bâle 2011, n. 21 ad art. 115 CPP). Les droits lésés directement par l’infraction doivent être des biens juridiques individuels;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c) Le seul bien juridique protégé par l'art. 146 CP est le patrimoine (ATF 122 IV 197 c. 2c p. 203; Markus Boog, Die Rechtsprechung des Bundesgerichts zum Begriff des Vermögensschadens beim Betrug, 1991, p. 7 s. et auteurs cités). La personne aux dépens de laquelle est commise l'escroquerie, soit le titulaire du bien juridique protégé, est ainsi celle dont les intérêts pécuniaires sont lésés, non l'éventuel dupé afin de causer cette atteinte. Que l'art. 146 al. 1 CP utilise le terme "victime" pour désigner la personne dupée ne change rien à ce que cette disposition vise à sanctionner l'atteinte au patrimoine à la suite de la tromperie (TF 6B_525/2012 du 5 novembre 2012 c. 3.3). d) En l’espèce, les associations plaignantes sont donc bien des parties à la procédure au sens de l’art. 118 CPP dès lors qu’elles sont demanderesses au civil et au pénal. Toutefois, la question de savoir si elles ont la qualité de lésées au sens de l’art. 115 CPP – et par conséquent la qualité pour recourir contre la décision de classement – est plus délicate. En effet, l’usurpation de nom ou les méthodes de vente ou de publicité propres à faire naître une confusion au sens de l'art. 3 let. d LCD sont susceptibles de fonder une action en remise de gain (TF 4A_474/2012 du 8 février 2013 c. 4.1 et les références citées). En revanche, il est douteux que, s’agissant des faits reprochés en l’espèce aux prévenus, on puisse considérer comme étant lésés dans leurs intérêts pécuniaires au sens de l’art. 146 CP non seulement les personnes qui ont versé des sommes au prévenu, mais également les associations recourantes qui n’ont pas subi de dommage direct. Cette question peut toutefois rester indécise, dès lors que le recours doit de toute façon être rejeté pour les motifs exposés ci-dessous.</w:t>
      </w:r>
    </w:p>
    <w:p>
      <w:r>
        <w:rPr>
          <w:b/>
        </w:rPr>
        <w:t>E. 3</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Conseil fédéral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des preuves par l'autorité de jugement, ne s'applique donc pas. C'est au contraire la maxime " in dubio pro duriore " qui impose, en cas de doute, une mise en accusation (ATF 137 IV 219; ATF 138 IV 86 c. 4.1.1; ATF 138 IV 186).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4</w:t>
      </w:r>
    </w:p>
    <w:p>
      <w:r>
        <w:t>a) Les recourantes contestent le classement de la procédure pénale dirigée contre X.________ pour escroquerie, estimant que les éléments constitutifs de cette infraction, en particulier l’astuce, seraient réalisés. b) L'escroquerie au sens de l'art. 146 CP suppose en particulier que l'auteur ait usé de tromperie et que celle-ci ait été astucieuse (ATF 128 IV 18 c. 3a; ATF 122 II 422 c. 3a; ATF 122 IV 246 c. 3a et les arrêts cités). Il y a astuce, au sens de la jurisprudence, lorsque l'auteur recourt à des manoeuvres frauduleuses, à une mise en scène comportant des documents ou des actes ou à un échafaudage de mensonges qui se recoupent de façon si raffinée que même une victime critique se laisserait tromper. Il y a ainsi manoeuvre frauduleuse, par exemple, si l'auteur emploie un document faux ou fait intervenir, à l'appui de sa tromperie, un tiers participant ou manipulé. L'astuce sera également retenue si, en fonction des circonstances, une vérification ne pouvait pas être exigée de la dupe.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Il n'est pas nécessaire qu'elle fasse preuve de la plus grande diligence et qu'elle recoure à toutes les mesures de prudence possibles. L'astuce ne sera exclue que si la dupe est coresponsable du dommage parce qu'elle n'a pas observé les mesures de prudence élémentaires qui s'imposaient (TF 6P. 145/2006 c. 3 et les réf. cit.). c) En l’espèce, les éléments constitutifs de l'escroquerie au sens de l'art. 146 CP ne sont pas réalisés et l’argumentation du procureur est à cet égard convaincante. En effet, les documents envoyés dans le cadre des publipostages contenaient notamment les messages suivants: 1. « Josiane, voici d’ores et déjà la 1 ère pièce de l’objet sacré qui va vous offrir la richesse que vous n’espériez plus ! […] Josiane, l’objet singulier va pourtant, dès le 1 er jour, vous faire gagner 125 000 € et par la suite vous rendre riche en millions ! Il s’agit de la Boîte à Fortune du Dieu « Piancaishen » ! » (P. 160/5) 2. « BON POUR DECLENCHER AU-TO-MA-TI-QUE-MENT DES MIRACLES DANS LES 48H ET GAGNER 600.000 euros DANS LES JOURS QUI VIENNENT » (dossier joint B, annexe à la P. 4) 3. « BON D’AIDE URGENTE POUR LES QUESTIONS SECR è TES DE BONHEUR 97 QUE TU TE POSES » (dossier II, P. II/1) En se fondant sur les quelques exemples précités, on ne peut que constater que les affirmations de l’expéditeur sont à ce point aberrantes qu’on ne saurait de toute évidence considérer que même une victime faisant preuve d’esprit critique se laisserait tromper. Si l’on ne peut certes raisonnablement exiger une vérification de la dupe pour des opérations commerciales courantes de faible valeur, tel n’est cependant pas le cas en l’espèce. En effet, le fait de payer une somme, même modeste, pour acheter un « bon à déclencher les miracles » ou la « 1ère pièce de l’objet sacré » n’était pas une opération courante permettant de dispenser les personnes concernées de vérification. Il est vrai que, dans le cas particulier, il n’est pas contesté que le procédé consistait à s’adresser à des personnes en situation de faiblesse. Il n’y a cependant aucun renseignement précis au dossier sur l’état de ces personnes. Quoi qu’il en soit, le prévenu n’a pas fait d’autres démarches auprès des lésés que l’envoi de prospectus. En particulier, il ne ressort pas du dossier que les envois des documents litigieux aient été accompagnés de démarchages téléphoniques, de visites à domicile ou d’autres relances de ce genre. On ne peut donc retenir qu’il y ait eu une véritable exploitation de la situation personnelle des lésés, quand bien même ceux-ci ont été décrits comme faibles, d’autant moins que les informations contenues dans les prospectus étaient particulièrement insensées. Au vu de ce qui précède, l’astuce, élément constitutif de l’infraction de l’escroquerie, fait défaut. Dans ces conditions, un renvoi en jugement du prévenu ne pourrait selon toute vraisemblance qu’aboutir à un acquittement s’agissant de cette infraction. Aucune mesure d’instruction complémentaire ne permettrait de mener à une autre appréciation. Par conséquent, c’est à juste titre que le procureur a classé la procédure pénale dirigée contre X.________ pour escroquerie.</w:t>
      </w:r>
    </w:p>
    <w:p>
      <w:r>
        <w:rPr>
          <w:b/>
        </w:rPr>
        <w:t>E. 5</w:t>
      </w:r>
    </w:p>
    <w:p>
      <w:r>
        <w:t>En définitive, manifestement mal fondé, le recours doit être rejeté dans la mesure où il est recevable, sans autres échanges d’écritures (art. 390 al. 2 CPP), et l'ordonnance attaquée confirmée. Les frais de la procédure de recours, par 1’100 fr. (art. 20 al. 1 TFJP [Tarif des frais judiciaires pénaux du 28 septembre 2010, RSV 312.03.1]), seront mis à la charge des recourantes, qui succombent (art. 428 al. 1 CPP), par moitié chacune et solidairement entre elles (art. 418 al. 1 et 2 CPP). Par ces motifs, la Chambre des recours pénale, statuant à huis clos, prononce : I. Le recours est rejeté dans la mesure où il est recevable. II. L’ordonnance du 29 mai 2013 est confirmée. III. Les frais d’arrêt, par 1'100 fr. (mille cent francs), sont mis à la charge des recourantes par moitié, soit par 550 fr. (cinq cent cinquante francs) chacune, et solidairement entre elles. IV. Le présent arrêt est exécutoire. Le président :               La greffière : Du L'arrêt qui précède, dont la rédaction a été approuvée à huis clos, est notifié, par l'envoi d'une copie complète, à : - M. Nicolas Jeandin, avocat (pour Association Z.________ et Association Y.________), - M. Marc Henzelin, avocat (pour X.________), - Secrétariat d’Etat à l’économie, Secteur droit, - UBS SA, département juridique, - Banque Cantonale Genevoise, département juridique, - Ministère public central, et communiqué à : ‑ M. le Procureur du Ministère public central, division entraide, criminalité économique et informatique, - Office des poursuites, service des huissiers, à Genève, - Office cantonal des faillites, à Fribourg, - Office des faillites de Genève, - Office des faillites de l’arrondissement de La Broye et du Nord vaudois, - PCM Prest Center Marketing Sàrl, - Ministère public de la Confédération,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