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681 vom 8. März 2013</w:t>
      </w:r>
    </w:p>
    <w:p>
      <w:r>
        <w:t>VD Tribunal cantonal, 2013-03-08, FR</w:t>
      </w:r>
    </w:p>
    <w:p>
      <w:r>
        <w:rPr>
          <w:b/>
        </w:rPr>
        <w:t xml:space="preserve">Quelle: </w:t>
      </w:r>
      <w:r>
        <w:t>https://mcp.opencaselaw.ch/entscheid/vd_findinfo_D_cision___2013___681</w:t>
      </w:r>
    </w:p>
    <w:p>
      <w:r>
        <w:t>FR: VD_FINDINFO Décision / 2013 / 681 du 8 mars 2013</w:t>
      </w:r>
    </w:p>
    <w:p>
      <w:r>
        <w:t>IT: VD_FINDINFO Décision / 2013 / 681 del 8 marzo 2013</w:t>
      </w:r>
    </w:p>
    <w:p>
      <w:pPr>
        <w:pStyle w:val="Heading2"/>
      </w:pPr>
      <w:r>
        <w:t>Regeste</w:t>
      </w:r>
    </w:p>
    <w:p>
      <w:r>
        <w:t>INDEMNITÉ{EN GÉNÉRAL}, AVOCAT, TRIBUNAL FÉDÉRAL | 107 al. 2 LTF, 310 CPP (CH), 393 al. 1 let. a CPP (CH),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 CREP 23 avril 2012/197).</w:t>
      </w:r>
    </w:p>
    <w:p>
      <w:r>
        <w:rPr>
          <w:b/>
        </w:rPr>
        <w:t>E. 2</w:t>
      </w:r>
    </w:p>
    <w:p>
      <w:r>
        <w:t>Dans son arrêt du 8 juillet 2013, le Tribunal fédéral a considéré que l’intervention du conseil de la recourante ne s’inscrivait pas dans l’exercice raisonnable des droits de procédure au sens de l’art. 429 aI. 1 let. a CPP, ce qui excluait toute indemnisation. a)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 2.3.5 et les références citées; TF 6B_387/2013 du 8 juillet 2013 c. 2.1). b) En l’espèce, la Haute Cour a relevé que le fait qu’un délit soit reproché à D.________ n’était pas suffisant à lui seul pour justifier le recours à un avocat. Elle a relevé que cette dernière, soupçonnée d’avoir mis le feu à un container en y jetant une cigarette, avait été entendue à une seule reprise le 8 mai 2012 par la police et qu’elle avait déclaré lors de cette audition ne pas avoir besoin de l’assistance d’un d’avocat pour le moment (PV aud. 1, p. 2). En outre, la concierge de l’immeuble avait également été entendue deux jours après (PV aud. 2). Par ailleurs, la prévenue s’était présentée seule au poste de police pour y déposer un test d’analyse médicale démontrant qu’elle ne fumait pas (P. 4/1, p. 5). De surcroît, la gendarmerie avait établi un rapport le 21 mai 2012 et le conseil de la recourante n’avait annoncé son mandat qu’en date du 18 juin 2012. Il n’était donc pas intervenu dans le cadre de la procédure d’investigation. Sur la base de ces éléments, les juges fédéraux ont considéré que la cause ne présentait pas de difficultés particulières ni en fait ni en droit, le ministère public n’ayant de surcroît pas requis de complément d’enquête au sens de l’art. 309 al. 2 CPP. c) La Cour de céans fait sienne l’argumentation développée par le Tribunal fédéral. En effet, bien que les faits reprochés à D.________ soient constitutifs d’un délit, le recours à un avocat ne procédait pas d’un exercice raisonnable des droits de procédure, compte tenu des circonstances du cas d’espèce, notamment du fait que le conseil de la prévenue n’était pas intervenu dans le cadre de la procédure préliminaire. Par conséquent, la recourante ne saurait prétendre à une indemnité pour ses frais de défense au sens de l’art. 429 aI. 1 let. a CPP.</w:t>
      </w:r>
    </w:p>
    <w:p>
      <w:r>
        <w:rPr>
          <w:b/>
        </w:rPr>
        <w:t>E. 3</w:t>
      </w:r>
    </w:p>
    <w:p>
      <w:r>
        <w:t>Il résulte de ce qui précède que le recours doit être rejeté et l’ordonnance entreprise confirmée. Les frais de la procédure de recours, constitués de l'émolument d'arrêt, par 360 fr. (art. 20 al. 1 TFJP [Tarif des frais judiciaires pénaux; RSV 312.03.1]), seront mis à la charge de la recourante, qui succombe (428 al. 1 CPP). Par ces motifs, le Juge de la Chambre des recours pénale, statuant à huis clos, prononce : I. Le recours est rejeté. II. L’ordonnance du 1 er février 2013 est confirmée. III. Les frais d’arrêt, par 360 fr. (trois cent soixante francs), sont mis à la charge de la recourante. IV. Le présent arrêt est exécutoire. Le juge :               La greffière : Du L'arrêt qui précède, dont la rédaction a été approuvée à huis clos, est notifié, par l'envoi d'une copie complète, à : - Me Fabien Mingard, avocat (pour D.________), - Ministère public central, et communiqué à : ‑ I.________ SA,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