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679 vom 5. August 2013</w:t>
      </w:r>
    </w:p>
    <w:p>
      <w:r>
        <w:t>VD Tribunal cantonal, 2013-08-05, FR</w:t>
      </w:r>
    </w:p>
    <w:p>
      <w:r>
        <w:rPr>
          <w:b/>
        </w:rPr>
        <w:t xml:space="preserve">Quelle: </w:t>
      </w:r>
      <w:r>
        <w:t>https://mcp.opencaselaw.ch/entscheid/vd_findinfo_D_cision___2013___679</w:t>
      </w:r>
    </w:p>
    <w:p>
      <w:r>
        <w:t>FR: VD_FINDINFO Décision / 2013 / 679 du 5 août 2013</w:t>
      </w:r>
    </w:p>
    <w:p>
      <w:r>
        <w:t>IT: VD_FINDINFO Décision / 2013 / 679 del 5 agosto 2013</w:t>
      </w:r>
    </w:p>
    <w:p>
      <w:pPr>
        <w:pStyle w:val="Heading2"/>
      </w:pPr>
      <w:r>
        <w:t>Regeste</w:t>
      </w:r>
    </w:p>
    <w:p>
      <w:r>
        <w:t>DÉTENTION PRÉVENTIVE, MOTIF DE DÉTENTION, RISQUE DE RÉCIDIVE |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satisfait aux conditions de forme posées par l’art. 385 al. 1 CPP.</w:t>
      </w:r>
    </w:p>
    <w:p>
      <w:r>
        <w:rPr>
          <w:b/>
        </w:rPr>
        <w:t>E. 2</w:t>
      </w:r>
    </w:p>
    <w:p>
      <w:r>
        <w:t>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aI.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ème éd., Zurich 2006, n. 841); d’autre part, il doit exister un risque sérieux que l’une des trois hypothèses prévues à l’art. 221 al. 1 let. a à c CPP se concrétise (Message du Conseil fédéral, FF 2006 pp. 1057 ss, spéc. p. 1210).</w:t>
      </w:r>
    </w:p>
    <w:p>
      <w:r>
        <w:rPr>
          <w:b/>
        </w:rPr>
        <w:t>E. 3</w:t>
      </w:r>
    </w:p>
    <w:p>
      <w:r>
        <w:t>a) La mise en détention provisoire ainsi que la mise en détention pour des motifs de sûreté n’est donc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1B_414/2011 du 5 septembre 2011 c. 3.1). Les éléments exposés dans l'acte d'accusation font en particulier état de plusieurs victimes ayant subi les interventions de K.________. Il ressort notamment des déclarations concordantes des victimes que de 2004/2005 à 2007, K.________ a eu, quotidiennement, une importante clientèle, à laquelle il se présentait faussement comme médecin, portant une blouse blanche, roulant dans une voiture de luxe, distribuant des cartes de visites et accrochant dans la rue une plaque indiquant sa qualité de médecin dentiste. Les conséquences néfastes des interventions médicales du prévenu figurent notamment dans les constatations de la Dresse Clavel laquelle a relevé leur caractère irréversible. Par ailleurs, dans les deux laboratoires, des appareils essentiellement ou exclusivement destinés à la pratique de la médecine dentaire ont été retrouvés, ainsi qu'une plaquette "médecin-dentiste" au nom de K.________. Compte tenu de ces éléments, il existe de forts soupçons de culpabilité à l’encontre de K.________ qui, à ce stade de l’enquête, sont suffisants pour justifier sa mise en détention pour des motifs de sûreté. b) Une des conditions posées à la détention provisoire et à la détention pour des motifs de sûreté est le risque de réitération (art. 221 al. 1 let. c CPP), soit que le prévenu compromette sérieusement la sécurité d’autrui par des crimes ou des délits graves après avoir commis des infractions du même genre.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in Kuhn/Jeanneret (éd.), Commentaire romand, Code de procédure pénale suisse, Bâle 2011, n. 18 ad art. 221 CPP).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En l'espèce, le prévenu a été condamné le 14 septembre 2004 par l'Office régional du Juge d'instruction du Bas-Valais à cinquante jours d'emprisonnement avec sursis pour infraction à la LAVS et à la LEtr notamment. Par la suite, le recourant a ouvert successivement deux cabinets à Vevey, lesquels ont été fermés par le juge d'instruction. Le dépôt d'une plainte par une patiente, le 15 janvier 2013, ainsi que la dénonciation de la Dresse [...], bien que ne ressortissant pas de la compétence ratione loci des autorités vaudoises, démontrent que le recourant récidive régulièrement, malgré les mises en garde dont il a fait l'objet et l'ouverture d'une enquête pénale à son encontre. A cet égard, l'appréciation du risque de réitération par le tribunal se fonde uniquement sur la question de savoir s'il existe un risque que les agissements litigieux soient poursuivis. En l'occurrence, il est à craindre que, remis en liberté, le recourant ne commette des infractions du même genre que celles qui lui valent les présentes poursuites. Le risque de récidive (art. 221 al. 1 let. c CPP) est donc bien réel et justifie le placement du recourant en détention pour des motifs de sûreté. c) Le recourant conteste l'existence d'un risque de fuite. Les motifs de détention sont suffisamment établis au regard du risque de réitération pour que l’on puisse se dispenser d’examiner si le risque de fuite justifie également la détention pour motifs de sûreté du prévenu, les conditions de la détention étant en effet alternatives (cf. CREP 10 juillet 2013/410). On peut toutefois relever, par surabondance,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La gravité de l’infraction ne peut pas, à elle seule, justifier la prolongation de la détention, même si elle permet souvent de présumer un danger de fuite en raison de l’importance de la peine dont le prévenu est menacé (ibidem). En l'espèce, le recourant est originaire de Serbie et au bénéfice d'un permis B. Il ressort du rapport d'expertise du 3 juin 2013 qu'K.________ présente de nombreux troubles psychiques rendant ses réactions incontrôlables et faisant redouter qu'il ne tente de se soustraire à la justice à tout moment. En conséquence, le risque de fuite semble réalisé.</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En l'espèce, K.________ est détenu depuis le 25 juillet 2013, soit un peu plus de quinze jours. Compte tenu des actes qui lui sont reprochés, le recourant s'expose à une peine privative de liberté d’une durée supérieure à celle de la détention provisoire subie à ce jour. Au vu de ces éléments, on peut admettre que la détention pour motifs de sûreté ordonnée par le premier juge respecte le principe de proportionnalité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à la charge de K.________, qui succombe (art. 428 al. 1 CPP). Le remboursement à l’Etat de l’indemnité allouée au défenseur d’office de K.________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K.________ est fixée à 583 fr. 20 (cinq cent huitante trois francs et vingt centimes). IV. Les frais du présent arrêt, par 990 fr. (neuf cent nonante francs), ainsi que l'indemnité due au défenseur d'office, par 583 fr. 20 (cinq cent huitante trois francs et vingt centimes) du recourant selon le chiffre III ci-dessus, sont mis à la charge de K.________. V. Le remboursement à l'Etat de l'indemnité allouée au chiffre III ci-dessus sera exigible pour autant que la situation économique de K.________ se soit améliorée. VI. Le présent arrêt est exécutoire. Le président :               La greffière : Du L'arrêt qui précède, dont la rédaction a été approuvée à huis clos, est notifié, par l'envoi d'une copie complète, à : - Me Astyanax Peca, avocat (pour K.________), - Ministère public central, et communiqué à : ‑ Mme la Présidente du Tribunal d'arrondissement de l'Est vaudois,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