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664 vom 25. Juli 2013</w:t>
      </w:r>
    </w:p>
    <w:p>
      <w:r>
        <w:t>VD Tribunal cantonal, 2013-07-25, FR</w:t>
      </w:r>
    </w:p>
    <w:p>
      <w:r>
        <w:rPr>
          <w:b/>
        </w:rPr>
        <w:t xml:space="preserve">Quelle: </w:t>
      </w:r>
      <w:r>
        <w:t>https://mcp.opencaselaw.ch/entscheid/vd_findinfo_D_cision___2013___664</w:t>
      </w:r>
    </w:p>
    <w:p>
      <w:r>
        <w:t>FR: VD_FINDINFO Décision / 2013 / 664 du 25 juillet 2013</w:t>
      </w:r>
    </w:p>
    <w:p>
      <w:r>
        <w:t>IT: VD_FINDINFO Décision / 2013 / 664 del 25 luglio 2013</w:t>
      </w:r>
    </w:p>
    <w:p>
      <w:pPr>
        <w:pStyle w:val="Heading2"/>
      </w:pPr>
      <w:r>
        <w:t>Regeste</w:t>
      </w:r>
    </w:p>
    <w:p>
      <w:r>
        <w:t>DÉTENTION PRÉVENTIVE, RISQUE DE FUITE, MESURE ANTICIPÉE D'EXÉCUTION PAR SUBSTITUTION | 221 al. 1 let. a CPP (CH), 237 CPP (CH), 393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w:t>
      </w:r>
    </w:p>
    <w:p>
      <w:r>
        <w:t>Le recourant ne conteste à juste titre pas l’existence de présomptions sérieuses de culpabilité à son encontre (infractions au patrimoine pour plusieurs millions de francs). En revanche, il considère que le risque de fuite retenu par le Tribunal des mesures de contrainte serait insuffisant pour justifier sa détention provisoire. a)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 b) En l’espèce, le recourant soutient avoir un domicile fixe, dès lors qu’il était encore, jusqu’il y a peu, enregistré auprès du contrôle des habitants de Clarens. Toutefois, il ressort du rapport d’investigation du 7 janvier 2013 que le recourant a quitté cette commune le 1 er décembre 2012, sans laisser d’adresse (p. 2). Par ailleurs, selon les dires de la partie plaignante, K.________, qui lui avait mis ce logement à disposition, il s’agirait d’un domicile fictif, le prévenu n’ayant jamais habité à cette adresse (PV aud. Ministère public du 11 décembre 2013, p. 9). En outre, s’agissant du renouvellement de son permis C – échu depuis plus de neuf mois –, la cour constate qu’il n’aura vraisemblablement guère de chance d’aboutir, compte tenu de la présente procédure pénale. En outre, sur le plan familial, il sied de relever qu’à l’heure actuelle, l’ex-femme du recourant et ses quatre enfants habitent toujours en Hollande, bien que ceux-ci aient émis le souhait de revenir vivre en Suisse. Le recourant a déclaré que son fils de 18 ans habitait avec lui à Clarens. Or, ce dernier n’était en Suisse que pour les vacances (PV aud. Ministère public, p. 11). Par ailleurs, le prévenu a indiqué avoir une autre enfant en bas âge dans notre pays, qu’il a eue avec sa nouvelle compagne, et ne pas souhaiter se dérober de ses responsabilités envers celle-ci. Cependant, il convient de souligner que l’enfant n’a pas encore été reconnue et qu’on ignore tout de cette circonstance alléguée par le recourant. D’ailleurs, celui-ci vit, apparemment sans problème, dans un autre pays que ses quatre enfants. On ne voit dès lors pas pourquoi il serait retenu de partir pour ce cinquième enfant. Au vu de ces éléments et compte tenu des charges qui pèsent sur lui ainsi que de la peine à laquelle il s’expose en cas de condamnation, il est sérieusement à craindre qu'en cas de libération, A.________ tente de se soustraire à la procédure pénale en cours en prenant la fuite. Certes, le recourant est établi en Suisse depuis plusieurs années, mais ce facteur n’est pas suffisant pour réduire le risque de fuite, compte tenu de l’ensemble de ce qui précède.</w:t>
      </w:r>
    </w:p>
    <w:p>
      <w:r>
        <w:rPr>
          <w:b/>
        </w:rPr>
        <w:t>E. 4</w:t>
      </w:r>
    </w:p>
    <w:p>
      <w:r>
        <w:t>Le recourant fait valoir que des mesures de substitution, telles que la saisie des documents d’identité ou l’obligation de se présenter régulièrement auprès d’un service administratif, seraient à même de prévenir tout risque de fuite. a) En application du principe de proportionnalité, l'art. 237 al. 1 CPP dispose que le tribunal compétent ordonne une ou plusieurs mesures moins sévères en lieu et place de la détention provisoire ou de la détention pour des motifs de sûreté si ces mesures permettent d’atteindre le même but que la détention (cf. ATF 133 I 27 c. 3.2; ATF 123 I 268 c. 2c in fine et les arrêts cités). Les mesures de substitution prévues à l'art. 237 al. 2 CPP sont donc un succédané à la détention provisoire poursuivant le même objectif, tout en étant moins sévères (Schmocker, in Kuhn/Jeanneret (éd.), op.cit., n. 2 ad art. 237 CPP). Le tribunal doit les prononcer à la place de la détention provisoire ou pour des motifs de sûreté si elles permettent d'empêcher la concrétisation du risque. Elles sont donc l'émanation directe du principe de la proportionnalité, consacré par l'art. 197 al. 1 let. c CPP, en vertu duquel le maintien en détention pour les besoins de l'instruction représente l' ultima ratio (ibidem). b) Compte tenu de l’importance de la présente procédure et de ses enjeux au niveau de la peine, les mesures de substitution proposées par le recourant sont insuffisantes, en l’état de l’instruction, pour prévenir efficacement le risque de fuite et garantir sa présence sur territoire helvétique. C’est donc à bon droit que le Tribunal des mesures de contrainte a estimé que le prévenu devait rester en détention.</w:t>
      </w:r>
    </w:p>
    <w:p>
      <w:r>
        <w:rPr>
          <w:b/>
        </w:rPr>
        <w:t>E. 5</w:t>
      </w:r>
    </w:p>
    <w:p>
      <w:r>
        <w:t>Selon l'art. 212 al. 3 CPP, la détention provisoire et la détention pour des motifs de sûreté ne doivent pas durer plus longtemps que la peine privative de liberté prévisible.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En l'espèce, A.________ a été appréhendé le 11 juillet 2013 seulement. Au vu de la gravité des charges qui pèsent sur lui, la durée de sa détention provisoire demeure proportionnée à la peine à laquelle il s'expose.</w:t>
      </w:r>
    </w:p>
    <w:p>
      <w:r>
        <w:rPr>
          <w:b/>
        </w:rPr>
        <w:t>E. 6</w:t>
      </w:r>
    </w:p>
    <w:p>
      <w:r>
        <w:t>Il résulte de ce qui précède que le recours, manifestement mal fondé, doit être rejeté et l’ordonnance entreprise confirmée. Le recourant a demandé à être mis au bénéfice de l’assistance judiciaire gratuite pour la procédure de recours et à ce que Me Luc del Rizzo soit désigné en qualité de défenseur d’office. Or, le 17 juillet 2013, cet avocat a déjà été nommé en cette qualité par l’autorité inférieure. Cette désignation vaut donc également pour la procédure de recours, à la différence de ce que prévoit l’art. 119 al. 5 CPC en matière civile (CREP 4 février 2013/42; 23 août 2012/513 c. 5b et les références citées). Les frais de la procédure de recours, constitués en l’espèce de l'émolument d'arrêt, par 770 fr. (art. 20 al. 1 TFJP [tarif des frais judiciaires pénaux; RSV 312.03.1]), et des frais imputables à la défense d’office (art. 422 al. 1 et 2 let. a CPP), fixés à 540 fr. plus la TVA, par 43 fr. 20, soit 583 fr. 20, seront mis à la charge du recourant, qui succombe (art. 428 al. 1 CPP). Le remboursement à l’Etat de l’indemnité allouée au défenseur d’office d’A.________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du recourant est fixée à 583 fr. 20 (cinq cent huitante-trois francs et vingt centimes). IV. Les frais du présent arrêt, par 770 fr. (sept cent septante francs), ainsi que l’indemnité due au défenseur d’office du recourant selon le chiffre III ci-dessus, sont mis à la charge de ce dernier. V. Le remboursement à l'Etat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Me Luc Del Rizzo, avocat (pour A.________), - Ministère public central, et communiqué à : ‑ Mme la Présidente du Tribunal des mesures de contrainte,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