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650 vom 15. Juli 2013</w:t>
      </w:r>
    </w:p>
    <w:p>
      <w:r>
        <w:t>VD Tribunal cantonal, 2013-07-15, FR</w:t>
      </w:r>
    </w:p>
    <w:p>
      <w:r>
        <w:rPr>
          <w:b/>
        </w:rPr>
        <w:t xml:space="preserve">Quelle: </w:t>
      </w:r>
      <w:r>
        <w:t>https://mcp.opencaselaw.ch/entscheid/vd_findinfo_D_cision___2013___650</w:t>
      </w:r>
    </w:p>
    <w:p>
      <w:r>
        <w:t>FR: VD_FINDINFO Décision / 2013 / 650 du 15 juillet 2013</w:t>
      </w:r>
    </w:p>
    <w:p>
      <w:r>
        <w:t>IT: VD_FINDINFO Décision / 2013 / 650 del 15 luglio 2013</w:t>
      </w:r>
    </w:p>
    <w:p>
      <w:pPr>
        <w:pStyle w:val="Heading2"/>
      </w:pPr>
      <w:r>
        <w:t>Regeste</w:t>
      </w:r>
    </w:p>
    <w:p>
      <w:r>
        <w:t>DÉCISION NON FORMELLE, CLASSEMENT DE LA PROCÉDURE, ORDONNANCE DE CONDAMNATION, LÉSION CORPORELLE GRAVE, ACCIDENT DE LA CIRCULATION, TRIBUNAL CIVIL | 319 al. 1 CPP (CH), 322 al. 2 CPP (CH), 393 al. 1 let. a CPP (CH)</w:t>
      </w:r>
    </w:p>
    <w:p>
      <w:pPr>
        <w:pStyle w:val="Heading2"/>
      </w:pPr>
      <w:r>
        <w:t>Erwägungen</w:t>
      </w:r>
    </w:p>
    <w:p>
      <w:r>
        <w:rPr>
          <w:b/>
        </w:rPr>
        <w:t>E. 1</w:t>
      </w:r>
    </w:p>
    <w:p>
      <w:r>
        <w:t>a) La recourante soutient que les lésions qu’elle a subies pourraient être constitutives de lésions corporelles graves et qu’elles devraient dès lors être poursuivies d’office. Elle fait ainsi implicitement grief au procureur d’avoir rendu, à tort, une ordonnance de classement implicite sur ce point. b) La loi est muette sur les effets d’une ordonnance pénale ou d’un acte d’accusation qui ne retient qu’une partie des faits et/ou des infractions faisant l’objet de l’instruction (Moreillon/Parein-Reymond, Code de procédure pénale, Bâle 2013, n. 5 ad art. 319 CPP). Selon la jurisprudence du Tribunal fédéral, 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(ATF 138 IV 245 c. 2.4, SJ 2012 I 482). La voie de l’opposition à l’ordonnance pénale (art. 354 CPP) n’est pas adaptée au cas d’un classement implicite ; la partie plaignante qui entend contester cette décision doit emprunter la voie du recours prévue à l’art. 322 al. 2 CPP (ATF 138 IV 245 précité c. 2.6). c) En l’espèce, le procureur, bien qu’il n’ait pas ouvert formellement une instruction ni étendu l’instruction pour lésions corporelles par négligence (art. 125 CP), a expressément indiqué qu’il ne retenait pas cette infraction pour les motifs que les lésions subies par D.________ pouvaient encore être qualifiées de lésions corporelles simples, lesquelles ne se poursuivaient pas d’office, et qu’en l’occurrence la plainte était tardive. L’acte attaqué comporte ainsi un classement implicite (art. 319 CPP), voire une non-entrée en matière implicite (art. 310 CPP), en tant qu’il concerne l’infraction de lésions corporelles par négligence. d) Vu ce qui précède, l’opposition formée par D.________ contre l’ordonnance pénale du 27 mai 2013 doit être considérée comme un recours, qui est recevable en tant qu’il est interjeté en temps utile contre la décision de classement, respectivement de non-entrée en matière, implicitement contenue dans cette ordonnance.</w:t>
      </w:r>
    </w:p>
    <w:p>
      <w:r>
        <w:rPr>
          <w:b/>
        </w:rPr>
        <w:t>E. 2</w:t>
      </w:r>
    </w:p>
    <w:p>
      <w:r>
        <w:t>a)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ère phrase CPP a contrario ).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Dès lors que le classement doit faire l’objet d’un prononcé séparé, écrit et motivé, il ne peut être glissé et mélangé au contenu d’une autre décision (ATF 138 IV 245 précité c. 2.5). Lorsque le ministère public s'écarte à tort de cette approche et rend une ordonnance pénale contenant un classement implicite, la voie du recours (art. 322 al. 2 CPP) est ouverte (ATF 138 IV 245 précité c. 2.6). Il doit en aller de même s’agissant d’une non-entrée en matière, à laquelle les dispositions sur le classement de la procédure sont applicables (art. 310 al. 2 CPP). b) Il s’ensuit que l’ordonnance pénale du 27 mai 2013 doit être annulée, non seulement en tant qu’elle concerne le classement respectivement la non-entrée en matière implicite, mais dans son entier, écartant ainsi le risque de deux condamnations séparées, l’une pour infractions à la LCR et l’autre pour lésions corporelles par négligence, dans l’hypothèse où J.________ serait également condamné pour cette seconde infraction. Le dossier de la cause sera renvoyé au Procureur pour qu’il rende une ordonnance séparée s’il entend classer la procédure, respectivement ne pas entrer en matière, en ce qui concerne l’infraction de lésions corporelles par négligence.</w:t>
      </w:r>
    </w:p>
    <w:p>
      <w:r>
        <w:rPr>
          <w:b/>
        </w:rPr>
        <w:t>E. 3</w:t>
      </w:r>
    </w:p>
    <w:p>
      <w:r>
        <w:t>En définitive, le recours doit être admis et l’ordonnance pénale du 27 mai 2013 annulée. Le dossier de la cause sera renvoyé au Procureur ad hoc pour l’arrondissement de Lausanne pour qu’il procède dans le sens des considérants, puis rende une nouvelle décision. L’émolument d’arrêt, par 550 fr. (art. 20 al. 1 TFJP ; RSV 312.03.1), sera laissé à la charge de l’Etat (art. 428 al. 4 CPP). Par ces motifs, la Chambre des recours pénale, statuant à huis clos, prononce : I. Le recours est admis. II. L’ordonnance du 27 mai 2013 est annulée. III. Le dossier de la cause est renvoyé au Procureur ad hoc pour l’arrondissement de Lausanne pour qu’il procède dans le sens des considérants. IV. Les frais d’arrêt, par 550 fr. (cinq cent cinquante francs), sont laissés à la charge de l’Etat. V. Le présent arrêt est exécutoire. Le président :               La greffière : Du L'arrêt qui précède, dont la rédaction a été approuvée à huis clos, est notifié, par l'envoi d'une copie complète, à : - J.________, - Me Joëlle Vuadens, avocate (pour D.________), - Ministère public central, et communiqué à : - M. le Procureur de l’arrondissement de l’Est vaudois, agissant pour l’arrondissement de Lausanne, - Service des automobiles et de la navigation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