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647 vom 18. Juni 2013</w:t>
      </w:r>
    </w:p>
    <w:p>
      <w:r>
        <w:t>VD Tribunal cantonal, 2013-06-18, FR</w:t>
      </w:r>
    </w:p>
    <w:p>
      <w:r>
        <w:rPr>
          <w:b/>
        </w:rPr>
        <w:t xml:space="preserve">Quelle: </w:t>
      </w:r>
      <w:r>
        <w:t>https://mcp.opencaselaw.ch/entscheid/vd_findinfo_D_cision___2013___647</w:t>
      </w:r>
    </w:p>
    <w:p>
      <w:r>
        <w:t>FR: VD_FINDINFO Décision / 2013 / 647 du 18 juin 2013</w:t>
      </w:r>
    </w:p>
    <w:p>
      <w:r>
        <w:t>IT: VD_FINDINFO Décision / 2013 / 647 del 18 giugno 2013</w:t>
      </w:r>
    </w:p>
    <w:p>
      <w:pPr>
        <w:pStyle w:val="Heading2"/>
      </w:pPr>
      <w:r>
        <w:t>Regeste</w:t>
      </w:r>
    </w:p>
    <w:p>
      <w:r>
        <w:t>LIBÉRATION CONDITIONNELLE | 86 CP</w:t>
      </w:r>
    </w:p>
    <w:p>
      <w:pPr>
        <w:pStyle w:val="Heading2"/>
      </w:pPr>
      <w:r>
        <w:t>Erwägungen</w:t>
      </w:r>
    </w:p>
    <w:p>
      <w:r>
        <w:rPr>
          <w:b/>
        </w:rPr>
        <w:t>E. 1</w:t>
      </w:r>
    </w:p>
    <w:p>
      <w:r>
        <w:t>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D’après l’art. 26 al. 2 LEP,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Tel est bien le cas en l’espèce.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délai de recours a commencé à courir le 20 juin 2013 pour venir à échéance le samedi 29 juin 2013, terme reporté d’office au premier jour utile suivant, soit au lundi 1 er juillet 2013 (art. 90 al. 2 CPP). Le recours a ainsi été interjeté en temps utile devant l’autorité compétente et satisfait aux conditions de forme posées par l’art. 385 al. 1 CPP, de sorte qu’il y a lieu d’entrer en matière.</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En l'espèce, le recourant est susceptible de bénéficier de la libération conditionnelle depuis le 16 juin 2013. Son comportement en détention doit être qualifié de bon. Toutefois, ce facteur favorable ne saurait impliquer à lui seul une libération conditionnelle. Il s'agit simplement d'un élément d'appréciation pour établir le pronostic (Dupuis/Geller/Monnier/Moreillon/Piguet/Bettex/Stoll [éd.], Petit commentaire CP, Bâle 2012, n. 5 ad art. 86 CP, p. 517). En effet, l'élément d'appréciation essentiel est le pronostic quant au comportement futur du condamné, à savoir s'il y a lieu de craindre qu'il ne commette de nouveaux crimes ou de nouveaux délits si la libération conditionnelle lui était accordée. Malgré le bon comportement du recourant en détention et son incontestable amendement, le premier juge a fondé son pronostic défavorable essentiellement sur le caractère peu consistant de ses projets d'avenir et, surtout, sur le risque de réitération découlant de sa situation instable. Le recourant fait valoir que la libération conditionnelle doit lui être octroyée pour le motif que son amendement, confirmé par tous les intervenants, serait tel qu’il exclurait tout risque de réitération, ce d’autant que, selon lui, son suivi thérapeutique «fonctionne parfaitement»; il mentionne qu’«un délai de départ suffisamment long pour lui permettre de se préparer (suivi thérapeutique, réinsertion socio-professionnelle dans son pays d’origine, rééducation) pourrait également lui être accordé», sachant, selon lui, qu’il aurait «toujours collaboré avec les autorités administratives en vue d’un éventuel renvoi (…)» (recours, ch. 29). c) La gravité extrême du crime à raison duquel le recourant purge sa peine la plus importante est de nature à inciter à la retenue dans l’appréciation du risque de réitération à l’aune de l’art. 86 al. 1 CP. Quoi qu’en dise le recourant, il ressort de son comportement et de ses propos qu’il n’entend pas collaborer sans réserve à son expulsion. Ses recours contre la décision de départ immédiat, auprès des deux instances judiciaires nationales, puis devant la Cour européenne des droits de l’Homme, témoignent bien plutôt de sa volonté de demeurer en Suisse aussi longtemps qu’il le pourra. L’intéressé a du reste été explicite à ce sujet lors de son audition par la Présidente du Collège des Juges d'application des peines le 25 avril 2013. Du reste, dans son recours, le condamné ne qualifie son renvoi que d’«éventuel» (recours, ch. 29, déjà cité). Son comportement est ainsi contradictoire, dans la mesure où le condamné relève ne pas être prêt à quitter la Suisse, ajoutant même qu’il préfère être détenu dans notre pays plutôt que libre dans le sien, d’une part, tout en se déclarant dans une certaine mesure disposé à collaborer à son rapatriement, d’autre part. Il apparaît ainsi qu’il entend bénéficier de la libération conditionnelle pour ensuite tenter d’échapper à toute mesure d’expulsion afin de persister à vivre en Suisse. Le condamné ne peut dès lors, en l’état, planifier son avenir à long terme, que ce soit dans un pays ou dans l’autre. Il s’agit d’un facteur objectif d’instabilité, qui ne peut qu’obérer lourdement toute resocialisation. On ne se trouve donc pas dans le cas de figure où un refoulement, voire un retour volontaire du condamné étranger dans son Etat d’origine permet d'exclure un pronostic défavorable (cf. CREP 10 janvier 2013/9; CREP 14 novembre 2011/488; TF 6A.34/2006 du 30 mai 2006 c. 2.1; TF 6A.78/2000 du 3 novembre 2000 c. 2, résumé in : BJP 2003 p. 38 n° 348; Cass. 23 mars 2009/108). A ceci s’ajoute que, si le Professeur [...] a exclu tout trouble psychiatrique constitué ou trouble de la personnalité et a relevé que le risque de nouveaux passages à l’acte était faible dans le contexte actuel, il n’en reste pas moins que l’expert a mis en évidence l’existence de points de vulnérabilité qui pourraient constituer un risque de passage à l’acte dans un contexte de conflit ou d’instabilité. Cette réserve est particulièrement importante au vu de la gravité du crime en cause. Or, le condamné se trouverait précisément dans une situation d’instabilité si la libération conditionnelle venait à lui être accordée en l’état. En effet, le condamné, père de plusieurs enfants issus de femmes différentes, manifeste une évidente tendance à l’instabilité dans sa vie privée, multipliant les relations sexuelles avec de multiples partenaires, en Suisse et à l’étranger (cf. notamment le rapport d’expertise du 1 er novembre 2012, pp. 4 à 7, qui dresse un tableau de la vie privée de l’intéressé). Pour le surplus, on ne voit pas en quoi un délai de convalescence de quelques semaines après l’opération chirurgicale du 20 juin 2013 pourrait être déterminant pour la libération conditionnelle. En effet, à défaut d’avis médical explicite contraire, rien n’indique, loin s’en faut, que cette période d’inactivité ferait obstacle à tout rapatriement tout en imposant l’élargissement du patient. Dans cette mesure, le moyen est infondé. A noter en outre qu’il s’agit de peines qui auront été entièrement purgées au 21 octobre 2018 seulement, de sorte que la durée de la convalescence alléguée est sans commune mesure avec celle du solde de sa privation de liberté. Enfin, l’effet suspensif à l’exécution de l’arrêt national attaqué qui serait éventuellement susceptible d’être accordé par la Cour européenne des droits de l’Homme présuppose naturellement la réalisation de la condition préalable mentionnée par la décision administrative, à savoir que le condamné ait satisfait à la justice vaudoise; en d’autres termes, l’effet suspensif éventuel ne concerne que l’hypothèse de la libération conditionnelle. Or, cet élargissement requiert par avance, précisément, que le condamné puisse être renvoyé à l’étranger, mesure à laquelle l’intéressé n’est pas disposé à collaborer. d) Le pronostic doit donc être réputé défavorable en l’état, ce qui exclut la libération conditionnelle.</w:t>
      </w:r>
    </w:p>
    <w:p>
      <w:r>
        <w:rPr>
          <w:b/>
        </w:rPr>
        <w:t>E. 3</w:t>
      </w:r>
    </w:p>
    <w:p>
      <w:r>
        <w:t>Il résulte de ce qui précède que c’est à bon droit que le Collège des Juges d'application des peines a estimé que les conditions d'une libération conditionnelle n'étaient pas réunies. En définitive, le recours doit ainsi être rejeté et le jugement du 18 juin 2013 confirmé. Les frais de la procédure de recours, constitués en l’espèce de l'émolument d'arrêt (art. 422 al. 1 CPP), par 1’100 fr. (art. 20 al. 1 TFJP [tarif des frais judiciaires pénaux; RSV 312.03.1]), et des frais imputables à la défense d’office (art. 422 al. 1 et 2 let. a CPP), fixés à 1’080 fr. plus la TVA, par 86 fr. 40, soit 1’166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est confirmé. III. L'indemnité allouée au défenseur d'office de X.________ est fixée à 1’166 fr. 40 (mille cent soixante-six francs et quarante centimes). IV. Les frais du présent arrêt, par 1’100 fr. (mille cent francs), ainsi que l’indemnité due au défenseur d’office du recourant selon le chiffre III ci-dessus, sont mis à la charge de X.________. V. Le remboursement à l'Etat de l'indemnité allouée au chiffre III ci-dessus sera exigible pour autant que la situation économique de X.________ se soit améliorée. VI. Le présent arrêt est exécutoire. Le président :               Le greffier : Du L'arrêt qui précède, dont la rédaction a été approuvée à huis clos, est notifié, par l'envoi d'une copie complète, à : - Me Martine Dang, avocate (pour X.________), - Ministère public central, et communiqué à : ‑ Mme la Présidente du Collège des Juges d'application des peines, - Département de l'intérieur, Office d'exécution des peines (réf. [...]), - Maison Le Vallon, - Service de la population, secteur étrangers (X.________, 26.09.1964),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