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628 vom 6. Juni 2013</w:t>
      </w:r>
    </w:p>
    <w:p>
      <w:r>
        <w:t>VD Tribunal cantonal, 2013-06-06, FR</w:t>
      </w:r>
    </w:p>
    <w:p>
      <w:r>
        <w:rPr>
          <w:b/>
        </w:rPr>
        <w:t xml:space="preserve">Quelle: </w:t>
      </w:r>
      <w:r>
        <w:t>https://mcp.opencaselaw.ch/entscheid/vd_findinfo_D_cision___2013___628</w:t>
      </w:r>
    </w:p>
    <w:p>
      <w:r>
        <w:t>FR: VD_FINDINFO Décision / 2013 / 628 du 6 juin 2013</w:t>
      </w:r>
    </w:p>
    <w:p>
      <w:r>
        <w:t>IT: VD_FINDINFO Décision / 2013 / 628 del 6 giugno 2013</w:t>
      </w:r>
    </w:p>
    <w:p>
      <w:pPr>
        <w:pStyle w:val="Heading2"/>
      </w:pPr>
      <w:r>
        <w:t>Regeste</w:t>
      </w:r>
    </w:p>
    <w:p>
      <w:r>
        <w:t>CLASSEMENT DE LA PROCÉDURE, DIFFAMATION, LOI FÉDÉRALE CONTRE LA CONCURRENCE DÉLOYALE | 173 CP, 3 al. 1 let. a LCD, 319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des preuves par l'autorité de jugement, ne s'applique donc pas. C'est au contraire la maxime " in dubio pro duriore " qui impose, en cas de doute, une mise en accusation (ATF 138 IV 86 c. 4.1.1).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Le recourant soutient que X.________ se serait rendu coupable de diffamation et d’infraction à la LCD. a)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ch. 1 CP protège la réputation d'être un homme honorable, c'est-à-dire de se comporter comme un homme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Seul l’honneur personnel est protégé par cette disposition. En revanche, celui qui critique l’artiste, le politicien, l’homme d’affaires ou de l’homme de l’art en tant que tel, et ébranle ainsi seulement leur confiance en eux-mêmes ou leur réputation dans leur entourage, ne tombe pas sous le coup de l’art. 173 CP (Favre, Pellet, Stoudmann, Code pénal annoté, Lausanne 2011, n. 1.5 ad art. 173 CP et les références citées). b)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qui de plus doit être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(TF 6B_824/2007 du 17 avril 2008 c. 2.1.1 et la jurisprudence citée). Aux termes de l'art. 3 al. 1 let. a LCD, agit de façon déloyale celui qui dénigre autrui, ses marchandises, ses oeuvres,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Dénigre par exemple un produit mis sur le marché celui qui le dépeint comme sans valeur, d'un prix surfait, inutilisable, entaché de défauts ou nuisible (TF 6B_824/2007 précité c. 2.2.1). Selon l’art. 23 al. 1 LCD, quiconque, intentionnellement, se rend coupable de concurrence déloyale au sens des art. 3, 4, 4 a ,</w:t>
      </w:r>
    </w:p>
    <w:p>
      <w:r>
        <w:rPr>
          <w:b/>
        </w:rPr>
        <w:t>E. 5</w:t>
      </w:r>
    </w:p>
    <w:p>
      <w:r>
        <w:t>ou 6 est, sur plainte, puni d'une peine privative de liberté de trois ans au plus ou d'une peine pécuniaire. c) En l’espèce, dans le courrier du 31 janvier 2011, X.________, agissant en qualité de président de l’Association des notaires vaudois, ne fait que renvoyer son destinataire à la procédure de mainlevée, apparemment en cours à l’époque de la saisine de l’association, et recommande de ne pas payer le solde de la note d’honoraires. Le courrier litigieux porte sur le montant d’une note d’honoraires qualifiée de sidérante. Dans ces circonstances, l’infraction de diffamation paraît exclue dans la mesure où le courrier incriminé comporte une critique exclusivement professionnelle. Cela étant, l’adjectif « sidérant » signifie dans son sens familier « qui étonne énormément » (cf. Larousse) ou « stupéfiant » (cf. Petit Robert) et n’a dès lors pas de connotation méprisante ou attentatoire à l’honneur. Dans le courrier du 15 février 2011, les propos « fruit pourri des élucubrations d’un juriste de pacotille » employés par le prévenu constituent une critique exclusivement professionnelle, sans faire apparaître l’intéressé comme une personne méprisable. Par ailleurs, les propos litigieux, qui ont été adressés à une autorité parfaitement consciente des circonstances du cas d’espèce et dans le cadre d’une procédure administrative menée contre le prévenu à qui on demandait de justifier son refus, échappent à l’infraction de diffamation pour ces motifs également. A cela s’ajoute qu’à la date de l’écrit litigieux, J.________ était sous le coup d’une condamnation prononcée le 11 novembre 2010 par le Tribunal correctionnel de l’arrondissement de l’Est vaudois pour infraction à l’art. 29 LFAIE (loi fédérale du 16 décembre 1983 sur l’acquisition d’immeubles par des personnes à l’étranger, RS 211.412.41), confirmée par arrêt de la Cour de cassation pénale du canton de Vaud du 26 janvier 2011. La référence à une récente condamnation pénale était donc toujours d’actualité et conforme à la réalité, du moins à la date du 15 février 2011, étant précisé que le jugement litigieux a par la suite été annulé. Sous l’angle de la LCD, si les intéressés étaient effectivement tous deux notaires au moment de l’instrumentalisation de l’acte modificatif de propriété par étages du 25 avril 2008 – objet de la note d’honoraires litigieuse – le prévenu s’est exprimé en qualité de président d’une association professionnelle, soit en l’occurrence en tant que représentant de son comité, non pas en qualité de notaire concurrent. L’absence de rapport de concurrence exclut l’application de la LCD dans le cas particulier. Au surplus, les arguments du recourant tendant à reprocher au prévenu de s’être substitué sans droit à la chambre des notaires tombent à faux dès lors que le courrier incriminé ne comporte pas d’appréciation chiffrée des honoraires comme on pourrait le trouver dans une procédure de modération de note d’honoraires. Par ailleurs, dès l’instant où le recourant avait renoncé à sa patente de notaire en 2008, il convient de considérer que le prévenu et lui n’étaient plus en rapport de concurrence en matière d’instrumentation d’actes authentiques, l’application de l’art. 3 al. 1 let. a LCD étant ainsi exclue. Enfin, les critiques du recourant tendant à soutenir que l’état de fait s’agissant du premier courrier serait lacunaire ou que la fardeau de la preuve aurait été renversé ne sont pas pertinentes, les infractions de diffamation et à l’art. 3 al. 1 let. a LCD n’étant, comme on vient de le voir, pas applicables faute d’atteinte à l’honneur pour la première et de rapport de concurrence pour la seconde. d) Au vu de ce qui précède, le recours doit être rejeté. 4. Il résulte de ce qui précède que le recours, mal fondé, doit être rejeté. Les frais de la procédure de recours, constitués en l’espèce du seul émolument d'arrêt (art. 422 al. 1 CPP), par 1’210 fr. (art. 20 al. 1 TFJP [tarif des frais judiciaires pénaux; RSV 312.03.1]), seront mis à la charge du recourant, qui succombe (art. 428 al. 1 CPP). Enfin, l'intimé au recours, X.________, qui a obtenu gain de cause et qui a procédé avec l'assistance d'un conseil professionnel, a droit à une indemnité, à la charge du recourant, pour les dépenses obligatoires occasionnées par la présente procédure de recours (art. 432 al. 2 et 436 al. 1 CPP), qui, au vu des déterminations produites sera arrêtée à 360 francs. Par ces motifs, la Chambre des recours pénale, statuant à huis clos, prononce : I. Le recours est rejeté. II. L’ordonnance du 28 février 2013 est confirmée. III. Les frais d’arrêt, par 1’210 fr. (mille deux cent dix francs), sont mis à la charge de J.________. IV. Une indemnité de 360 fr. (trois cent soixante francs) est allouée à X.________ pour la procédure de recours, à la charge de J.________. IV. Le présent arrêt est exécutoire. Le vice-président : La greffière : Du L'arrêt qui précède, dont la rédaction a été approuvée à huis clos, est notifié, par l'envoi d'une copie complète, à : - Me Philippe Reymond, avocat (pour J.________), - Me Eric Stauffacher, avocat (pour X.________),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