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625 vom 9. Juli 2013</w:t>
      </w:r>
    </w:p>
    <w:p>
      <w:r>
        <w:t>VD Tribunal cantonal, 2013-07-09, FR</w:t>
      </w:r>
    </w:p>
    <w:p>
      <w:r>
        <w:rPr>
          <w:b/>
        </w:rPr>
        <w:t xml:space="preserve">Quelle: </w:t>
      </w:r>
      <w:r>
        <w:t>https://mcp.opencaselaw.ch/entscheid/vd_findinfo_D_cision___2013___625</w:t>
      </w:r>
    </w:p>
    <w:p>
      <w:r>
        <w:t>FR: VD_FINDINFO Décision / 2013 / 625 du 9 juillet 2013</w:t>
      </w:r>
    </w:p>
    <w:p>
      <w:r>
        <w:t>IT: VD_FINDINFO Décision / 2013 / 625 del 9 luglio 2013</w:t>
      </w:r>
    </w:p>
    <w:p>
      <w:pPr>
        <w:pStyle w:val="Heading2"/>
      </w:pPr>
      <w:r>
        <w:t>Regeste</w:t>
      </w:r>
    </w:p>
    <w:p>
      <w:r>
        <w:t>CLASSEMENT DE LA PROCÉDURE, FAUX MATÉRIEL DANS LES TITRES, FRAIS DE LA PROCÉDURE | 251 CP, 319 CPP (CH), 393 al. 1 let. a CPP (CH), 420 CPP</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En l’espèce, interjeté en temps utile (art. 322 al. 2 et 396 al. 1 CPP) et dans les formes prescrites (art. 385 al. 1 CPP), devant l’autorité compétente, par la plaignante qui a qualité pour recourir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Conseil fédéral du 21 décembre 2005 relatif à l'unification du droit de la procédure pénale, FF 2006 p. 1255 ad art. 320 CPP).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des preuves par l'autorité de jugement, ne s'applique donc pas. C'est au contraire la maxime " in dubio pro duriore " qui impose, en cas de doute, une mise en accusation (ATF 137 IV 219; ATF 138 IV 86 c. 4.1.1; ATF 138 IV 186).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a)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Pour ce qui est de ses éléments subjectifs, le faux dans les titres est une infraction intentionnelle, le dol éventuel étant suffisant. L'art. 251 CP exige de surcroît un dessein spécial, qui peut se présenter sous deux formes alternatives, soit le dessein de nuire ou le dessein d'obtenir un avantage illicite (Corboz, Les infractions en droit suisse, 3 e éd, Berne 2010, vol. II, n. 171 ss ad art. 251 CP). S'agissant des éléments objectifs de l'infraction, sont notamment des titres tous les écrits destinés et propres à prouver un fait ayant une portée juridique (cf. art. 110 ch. 4 CP). L'art. 251 CP vise notamment le faux matériel, qui consiste dans la création d'un titre faux, la falsification d'un titre, ainsi que l'abus de blanc-seing. Il y a création d'un titre faux, lorsque l'auteur fabrique un titre dont l'auteur réel ne coïncide pas avec l'auteur apparent. Cela étant, le fait de signer d'un autre nom que le sien n'est pas forcément constitutif de faux dans les titres. Ainsi, il n'y a en principe pas création d'un titre faux lorsque l'auteur signe du nom d'un tiers avec l'accord de cette personne (Dupuis/Geller/Monnier/Moreillon/Piguet/Bettex/Stoll (éd.), Petit commentaire du Code pénal, Bâle 2012, nn. 8, 11 et 15 ad art. 251 CP et les réf. cit.). b) En l’espèce, on ne peut que constater que les versions des parties quant à l’existence de faux sont irrémédiablement contradictoires et qu’aucune mesure d’instruction complémentaire ne permettrait de confirmer ou d’infirmer l’une ou l’autre de ces versions. En effet, la mesure requise par la recourante, à savoir la production en mains du SAN de toutes les pièces contenant la signature falsifiée, ne permettrait pas de déterminer si J.________ a obtenu ou non l'accord de son épouse pour signer au nom de cette dernière. Il s’agit ainsi de la parole de l’un contre celle de l’autre. Dans ces conditions, un renvoi en jugement du prévenu ne pourrait selon toute vraisemblance qu’aboutir à un acquittement s’agissant de l’infraction de faux dans les titres. Aucune mesure d’instruction complémentaire ne permettrait de mener à une autre appréciation. Par conséquent, c’est à juste titre que le procureur a classé la procédure pénale dirigée contre J.________ pour faux dans les titres.</w:t>
      </w:r>
    </w:p>
    <w:p>
      <w:r>
        <w:rPr>
          <w:b/>
        </w:rPr>
        <w:t>E. 4</w:t>
      </w:r>
    </w:p>
    <w:p>
      <w:r>
        <w:t>a) Selon l’art. 420 let. a CPP, la Confédération ou le canton peut intenter une action récursoire contre des personnes qui, intentionnellement ou par négligence grave, ont provoqué l’ouverture de la procédure. La première condition pour qu’une action puisse être intentée est que le responsable ait agi intentionnellement ou ait fait preuve de négligence grave. Tel est notamment le cas de l’induction de la justice en erreur ou de la dénonciation calomnieuse (Crevoisier in : Kuhn/Jeanneret [éd.], op. cit., n. 3 ad art. 420 CPP; Moreillon/Parein-Reymond, op. cit., n. 5 ad art. 420 CPP; Domeisen in : Niggli/Heer/Wiprächtiger [éd.], op. cit., n. 7 ad art. 420 CPP; Schmid, Schweizerische Strafprozessordnung, Praxiskommentar, 2. Auflage, Zurich/St-Gall 2013, n. 5 ad art. 420 CPP). L’intention ou la négligence doit porter sur les faits dont la fausseté est connue ou aisément reconnaissable. D’une certaine manière, cette condition subjective est identique à celle qui prévaut dans le cadre d’infractions poursuivies sur plainte en autorisant à condamner à des frais le plaignant qui aurait « agi de manière téméraire ou par négligence grave » (art. 427 al. 2 CPP) (Pitteloud, Code de procédure pénale suisse, Commentaire à l'usage des praticiens, Zurich/St-Gall 2012, n. 1284, p. 852 et les réf. citées; CREP 23 juin 2013/415 c. 2b; CREP 12 mars 2013/321 c. 4b). b) En l’occurrence, s’agissant des accusations de tentatives de viol et d’étranglement, que le procureur qualifie de mensongères, la recourante les a portées lors de son audition du 5 octobre 2012, pour répondre à la question de savoir s’il y avait eu d’autres événements violents à son encontre. Elle a également précisé qu’il s’était passé beaucoup de choses entre elle et le prévenu, mais qu’elle n’avait pas envie de tout raconter (PV aud. 3, p. 2, l. 46). Au cours de la même audition, elle s’est finalement rétractée. Dans ces conditions, on ne saurait retenir qu’elle a sciemment menti, ni même rendu plus difficile la conduite de l’instruction. Quant à l’infraction de faux dans les titres, l’enquête n’a pas permis d’établir que la recourante avait donné son accord pour que J.________ signe en son nom. Cet élément ressort uniquement des affirmations de ce dernier et ne permet donc pas de considérer qu’il s’agit d’un fait établi. Par ailleurs, la recourante admet d’emblée que c’est elle qui a signé certains documents. Enfin, il y a lieu de relever que la recourante a accepté de suspendre la procédure au sens de l’art. 55a CP pour ce qui était des infractions poursuivies sur plainte. Dans ces circonstances, il faut constater qu’il n’y a pas suffisamment d’éléments pour considérer que la plaignante aurait agi intentionnellement ou fait preuve de négligence grave au sens de l’art. 420 let. a CPP. C’est donc à tort que le procureur a mis une partie des frais de procédure à la charge de cette dernière.</w:t>
      </w:r>
    </w:p>
    <w:p>
      <w:r>
        <w:rPr>
          <w:b/>
        </w:rPr>
        <w:t>E. 5</w:t>
      </w:r>
    </w:p>
    <w:p>
      <w:r>
        <w:t>En définitive, le recours de R.________ doit être partiellement admis, en ce sens que les frais de la procédure d’enquête sont laissés à la charge de l’Etat. S’agissant des dépens réclamés par la recourante, il convient de relever qu’aucune disposition ne permet à cette dernière, en tant que partie plaignante, de réclamer une indemnisation pour les honoraires de son conseil de choix. En effet, les exigences de l’art. 433 CPP, disposition qui permet, à certaines conditions, à la partie plaignante de demander une indemnité au prévenu (et non à l’Etat), ne sont pas remplies en l’occurrence. Vu l’issue de la cause, les frais de la procédure de recours, constitués du seul émolument d'arrêt, par 990 fr. (art. 20 al. 1 TFJP [tarif des frais judiciaires pénaux; RSV 312.03.1]), seront mis par moitié à la charge de la recourante, qui n’obtient que partiellement gain de cause, le solde étant laissé à la charge de l’Etat (art. 428 al. 1 CPP). Par ces motifs, la Chambre des recours pénale, statuant à huis clos, prononce : I. Le recours est partiellement admis. II. L’ordonnance du 4 juin 2013 est réformée comme suit aux chiffres III et IV de son dispositif: III. laisse à la charge de l’Etat les frais de procédure, comprenant l’indemnité allouée à son défenseur d’office par CHF 2'089.20 (CHF 153.20 de TVA). IV. supprimé. Elle est maintenue pour le surplus. III. Les frais d’arrêt, par 990 fr. (neuf cent nonante francs), sont mis par moitié à la charge de la recourante, soit par 445 fr. (quatre cent quarante-cinq francs), le solde étant laissé à la charge de l’Etat. IV. Le présent arrêt est exécutoire. Le président :               La greffière : Du L'arrêt qui précède, dont la rédaction a été approuvée à huis clos, est notifié, par l'envoi d'une copie complète, à : - Mme Flore Primault, avocate (pour R.________), - M. Georges Reymond, avocat (pour J.________),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