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619 vom 19. Juni 2013</w:t>
      </w:r>
    </w:p>
    <w:p>
      <w:r>
        <w:t>VD Tribunal cantonal, 2013-06-19, FR</w:t>
      </w:r>
    </w:p>
    <w:p>
      <w:r>
        <w:rPr>
          <w:b/>
        </w:rPr>
        <w:t xml:space="preserve">Quelle: </w:t>
      </w:r>
      <w:r>
        <w:t>https://mcp.opencaselaw.ch/entscheid/vd_findinfo_D_cision___2013___619</w:t>
      </w:r>
    </w:p>
    <w:p>
      <w:r>
        <w:t>FR: VD_FINDINFO Décision / 2013 / 619 du 19 juin 2013</w:t>
      </w:r>
    </w:p>
    <w:p>
      <w:r>
        <w:t>IT: VD_FINDINFO Décision / 2013 / 619 del 19 giugno 2013</w:t>
      </w:r>
    </w:p>
    <w:p>
      <w:pPr>
        <w:pStyle w:val="Heading2"/>
      </w:pPr>
      <w:r>
        <w:t>Regeste</w:t>
      </w:r>
    </w:p>
    <w:p>
      <w:r>
        <w:t>MESURE THÉRAPEUTIQUE INSTITUTIONNELLE, LIBÉRATION CONDITIONNELLE, PROPORTIONNALITÉ, CHANCES DE SUCCÈS, RISQUE DE RÉCIDIVE | 59 CP, 62 al. 1 CP, 62d CP, 26 LEP, 38 LEP, 393 CPP (CH)</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Dans le cadre d'un traitement institutionnel, le juge d'application des peines est également compétent pour lever une mesure (art. 28 al. 4 LEP).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w:t>
      </w:r>
    </w:p>
    <w:p>
      <w:r>
        <w:rPr>
          <w:b/>
        </w:rPr>
        <w:t>E. 1.3</w:t>
      </w:r>
    </w:p>
    <w:p>
      <w:r>
        <w:t>et les références citées). 3.2 En l’espèce, le PES a indiqué ne relever aucune évolution d’U.________ depuis octobre 2011. Ce dernier reste toujours préoccupant quant à des risques de réitération ainsi qu’au niveau de sa maladie psychique qui fluctue. Dans son rapport du 12 septembre 2012, la CIC a manifesté son inquiétude quant au succès du placement en foyer si U.________ ne collaborait pas dans une prise de médication adéquate accompagnant un tel transfert. Le SMPP reconnaît l’évolution favorable dont U.________ bénéficie par une structure de soins. Il précise toutefois qu’une telle structure devra être suffisamment contenante, ce d’autant qu’U.________ ne prend qu’une partie de la médication qu’on lui administre. La CIC, dans son avis du 16 octobre 2012, soutient qu’une tentative de placement dans une institution n’a de chance d’aboutir qu’à la stricte condition qu’U.________ soit en permanence au bénéfice du traitement que nécessite son trouble bipolaire de l’humeur et qu’il y consente. Le rapport du 4 mars 2013 de la Direction des EPO est plus pessimiste quant aux chances de succès de la mesure. La Direction des EPO soutient que la fluctuation d’humeur, les nombreuses consommation de stupéfiants, les pics d’agressivité importants qu’U.________ présente lorsqu’il n’est pas compensé, ainsi que la difficulté à se gérer dans un cadre plus souple tel que celui de la Colonie, sont des éléments qui ont rendu à leur yeux une perspective de placement impossible, au point que les intervenants des EPO s’interrogent quant au sens du maintien d’une telle mesure, tant celle-ci paraît vouée à l’échec. La Direction des EPO soutient néanmoins qu’U.________ se trouve à bout touchant d’un placement pouvant peut-être lui permettre d’entrer dans un processus plus constructif. Au vu des avis mitigés des intervenants quant aux chances de succès de la mesure, il convient d’instruire la question de savoir si le PES établi par les EPO pourra être mis en place. En particulier, il doit être examiné s’il existe un espoir que la phase 5 du PES prévoyant le placement d’U.________ dans un établissement médico-social adapté à sa situation puisse aboutir. Seule une expertise psychiatrique permettra de déterminer si une amélioration du comportement d’U.________ est encore possible. Il convient ainsi de renvoyer le dossier au premier juge pour qu’une expertise soit ordonnée sur ce point. Sur la base du rapport de l’expert, il appartiendra au Juge d’application des peines de se prononcer sur une éventuelle levée de la mesure, le cas échéant assortie d’un signalement à l’autorité de protection de l’adulte si une mesure de protection, telle qu’un placement à des fins d’assistance ou de traitement (art. 426 CC) devait s’avérer nécessaire. 4. En définitive, le recours doit être admis et la décision attaquée annulée. Le dossier sera renvoyé au Juge d’application des peines pour qu’il procède dans le sens des considérants qui précèdent. Les frais de la procédure de recours, constitués en l'espèce de l'émolument d'arrêt, par 1'870 fr. (art. 20 al. 1 TFJP [Tarif des frais judiciaires pénaux du 28 septembre 2010; RSV 312.03.1]), et des frais imputables à la défense d'office (art. 422 al. 1 et 2 let. a CPP), arrêtés à 720 fr., plus la TVA par 57 fr. 60, soit 777 fr. 60, seront laissés à la charge de l'Etat (art. 423 al. 1 CPP). Par ces motifs, la Chambre des recours pénale, statuant à huis clos, prononce : I. Le recours est admis. II. Le jugement du 19 juin 2013 est annulé et le dossier renvoyé au Juge d’application des peines pour qu’il procède dans le sens des considérants. III. L'indemnité due au défenseur d’office d’U.________ est fixée à 777 fr. 60 (sept cent septante-sept francs et soixante centimes). IV. Les frais de la procédure de recours, par 1'870 fr. (mille huit cent septante francs), ainsi que l'indemnité due au défenseur d'office d’U.________, par 777 fr. 60 (sept cent septante-sept francs et soixante centimes), sont laissés à la charge de l'Etat. V. Le présent arrêt est exécutoire. Le président :               La greffière : Du L'arrêt qui précède, dont la rédaction a été approuvée à huis clos, est notifié, par l'envoi d'une copie complète, à : - Me Jean Lob, avocat (pour U.________), - Ministère public central, et communiqué à : ‑ Mme le Juge d’application des peines, - Mme le Procureur du Ministère public central, division affaires spéciales, contrôle et mineurs, - Office d’exécution des peines (réf. : OEP/MES/30654/AVI/VRI),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2</w:t>
      </w:r>
    </w:p>
    <w:p>
      <w:r>
        <w:t>U.________ soutient qu’il existerait une disproportion manifeste entre la peine prononcée et son incarcération.</w:t>
      </w:r>
    </w:p>
    <w:p>
      <w:r>
        <w:rPr>
          <w:b/>
        </w:rPr>
        <w:t>E. 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(art. 62d al. 2 CP). L’autorité peut se fonder sur une expertise effectuée dans une phase antérieure de la procédure s’il y a lieu d’admettre que ses conclusions sont toujours valables. En effet, il n'y a pas lieu de procéder à la mise en œuvre d'une nouvelle expertise psychiatrique à chaque examen annuel de la libération conditionnelle (cf. Heer, in: Niggli/Wiprächtiger (éd.), Basler Kommentar, Strafrecht I, 2 e éd., Bâle 2007, n. 20 ad art. 62d CP et les références citées).</w:t>
      </w:r>
    </w:p>
    <w:p>
      <w:r>
        <w:rPr>
          <w:b/>
        </w:rPr>
        <w:t>E. 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 in dubio pro reo » n'est pas applicable (ATF 137 IV 201 c. 1.2 et la jurisprudence citée). Ce pronostic doit être posé en tenant compte du principe de la proportionnalité (art.</w:t>
      </w:r>
    </w:p>
    <w:p>
      <w:r>
        <w:rPr>
          <w:b/>
        </w:rPr>
        <w:t>E. 2.3</w:t>
      </w:r>
    </w:p>
    <w:p>
      <w:r>
        <w:t>En l’espèce, par jugement du 3 juillet 2008, le Tribunal correctionnel de l’arrondissement de Lausanne a reconnu U.________ coupable de lésions corporelles simples, de dommages à la propriété, d’injure et de violence ou menace contre les autorités et les fonctionnaires. Depuis lors, l’intéressé exécute le traitement institutionnel ordonné. Il ressort des rapports des différents intervenants en charge d’U.________ que celui-ci ne se stabilise que lorsqu’il prend sa médication. En l’absence de celle-ci, son humeur fluctue et il devient agressif. Le DARD est intervenu à deux reprises en raison d’inquiétantes manifestations de violence d’U.________. Il arrive qu’U.________ profère des menaces, des insultes et adopte des comportements d’intimidation envers ses thérapeutes. En outre, entre le 26 janvier 2010 et le 27 février 2012, il a fait l’objet de dix-huit sanctions disciplinaires. Il consomme également des stupéfiants, la dernière consommation remontant au 25 avril 2013. Le SMPP a toutefois observé que le comportement d’U.________ a radicalement changé et s’est amélioré depuis son intégration à l’Unité psychiatrique grâce à une prise médicamenteuse adaptée et correctement dosée. Cette intégration a également engendré une diminution des consommations de substances toxiques et la réduction des comportements agressifs. Cependant, le recourant ne reconnaît pas les bienfaits de la médication et n’accepte de la prendre que « par force, sous contrôle infirmier ». Ainsi, dès qu’il passera dans une structure plus souple, il est fortement à craindre que les traitements ne soient plus suivis. S’agissant de la prise de conscience des actes qui ont conduit à sa condamnation, les intervenants sont unanimes sur le fait qu’U.________ reste très peu critique. L’absence d’amendement est totale, celui-ci allant jusqu’à affirmer qu’il ne recommencera plus non pas parce que son acte était grave, mais parce que « la prochaine fois, il pourrait être plus méchant ». Au vu de ces éléments, il n’existe aucune prise de conscience et d’amendement de la part du recourant. Conformément à l’avis de l’OEP et du premier juge, aucun pronostic favorable ne peut être posé à l’heure actuelle et le risque de récidive est avéré. Le refus de la libération conditionnelle de la mesure thérapeutique demeure proportionné au vu des biens juridiques qui seraient mis en danger par une libération du recourant, soit notamment l’intégrité corporelle. 3 Cela étant, il convient d’examiner si les conditions du maintien de la mesure sont toujours réalisées. 3.1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cette circonstance étant toutefois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(TF 6B_714/2009 du 19 novembre 2009 c. 1.2 et la référence citée).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