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597 vom 7. Juni 2013</w:t>
      </w:r>
    </w:p>
    <w:p>
      <w:r>
        <w:t>VD Tribunal cantonal, 2013-06-07, FR</w:t>
      </w:r>
    </w:p>
    <w:p>
      <w:r>
        <w:rPr>
          <w:b/>
        </w:rPr>
        <w:t xml:space="preserve">Quelle: </w:t>
      </w:r>
      <w:r>
        <w:t>https://mcp.opencaselaw.ch/entscheid/vd_findinfo_D_cision___2013___597</w:t>
      </w:r>
    </w:p>
    <w:p>
      <w:r>
        <w:t>FR: VD_FINDINFO Décision / 2013 / 597 du 7 juin 2013</w:t>
      </w:r>
    </w:p>
    <w:p>
      <w:r>
        <w:t>IT: VD_FINDINFO Décision / 2013 / 597 del 7 giugno 2013</w:t>
      </w:r>
    </w:p>
    <w:p>
      <w:pPr>
        <w:pStyle w:val="Heading2"/>
      </w:pPr>
      <w:r>
        <w:t>Regeste</w:t>
      </w:r>
    </w:p>
    <w:p>
      <w:r>
        <w:t>ABUS DE CONFIANCE, NON-LIEU, CLASSEMENT DE LA PROCÉDURE | 138 CP, 429 al. 1 let. a CPP (CH), 429 CPP (CH)</w:t>
      </w:r>
    </w:p>
    <w:p>
      <w:pPr>
        <w:pStyle w:val="Heading2"/>
      </w:pPr>
      <w:r>
        <w:t>Erwägungen</w:t>
      </w:r>
    </w:p>
    <w:p>
      <w:r>
        <w:rPr>
          <w:b/>
        </w:rPr>
        <w:t>E. 1</w:t>
      </w:r>
    </w:p>
    <w:p>
      <w:r>
        <w:t>Le recours a été interjeté dans le délai légal (art. 322 al. 2 CPP [Code de procédure pénale suisse du 5 octobre 2007; RS 312.0], contre une ordonnance de classement du Ministère public (art. 393 al. 1 let. a CPP). La partie plaignante a qualité pour recourir contre la libération du prévenu (art. 382 al. 1 CPP; Garbarski, Le lésé et la partie plaignante en procédure pénale : état des lieux de la jurisprudence récente, in : SJ 2013 II 123 ss, spéc. let. H., pp. 142 ss; JT 2013 III 20, avec note de Pierre-Henri Winzap). Interjeté de surcroît dans les formes prescrites (art. 385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c) En vertu de l’art. 138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(art. 138 ch. 1 al. 1 CP), soit en des valeurs patrimoniales confiées (art. 138 ch. 1 al. 2 CP) (Dupuis/Geller/Monnier/Moreillon/Piguet/Bettex/Stoll [éd.], Petit commentaire du Code pénal, Bâle 2012, n. 2 ad art. 138 CP). Les conditions objectives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op. cit.,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ATF 120 IV 276, c. 2; ATF 120 IV 117 c. 2b).</w:t>
      </w:r>
    </w:p>
    <w:p>
      <w:r>
        <w:rPr>
          <w:b/>
        </w:rPr>
        <w:t>E. 3</w:t>
      </w:r>
    </w:p>
    <w:p>
      <w:r>
        <w:t>a) En l’espèce, le recourant, sans faire valoir expressément que les éléments constitutifs, objectifs et subjectifs, de l’infraction d’abus de confiance, respectivement de vol ou d’escroquerie, seraient réalisés, soutient que les intimés auraient astucieusement capté un avantage indu à son détriment en embellissant leur intérieur de ses œuvres d’art sans bourse délier. b) Indépendamment de savoir si les éléments objectifs de l’abus de confiance sont réunis en l’espèce, les éléments subjectifs de l’infraction ne le sont pas. En effet, les prévenus ont agi sans dessein d’enrichissement illégitime, soit d’appropriation, dès lors qu’il était convenu entre parties, partenaires commerciaux de longue date, que les candidats acheteurs avaient la faculté d’abriter les œuvres à titre provisoire dans leur logement pour se donner le temps de la réflexion avant de les acquérir le cas échéant, s’agissant de surcroît de montants élevés. Rien ne permet de tenir pour un tant soit peu vraisemblable que l’un ou l’autre des prévenus ait entendu dolosivement disposer des œuvres à son profit, notamment pour les aliéner à titre onéreux. Il est du reste établi que les prévenus avaient acheté plusieurs œuvres d’art au plaignant après, précisément, les avoir reçues à l’essai pour les exposer chez eux. Il s’agissait ainsi d’une pratique commerciale éprouvée, fondée sur des solides relations de confiance, que le plaignant est d’autant plus malvenu à contester désormais qu’il avait admis durant l’enquête que le prévenu tenait à sa disposition les œuvres ici en cause (PV aud. 1, p. 3, lignes 88-89). Ce qui précède s’applique également, mutatis mutandis, à l’infraction de vol (art. 139 CP), dont le dessein d’appropriation et celui d’enrichissement illégitime sont également au nombre des éléments constitutifs subjectifs (Dupuis et alii, op. cit., nn. 14 et 15 ad art. 139 CP). Quant à l’escroquerie (art. 146 CP), elle ne peut, à l’évidence, être réalisée à défaut de toute manoeuvre astucieuse de l’un ou de l’autre des prévenus, qui n’ont pas dolosivement mené le plaignant à agir contre ses intérêts en leur confiant ses œuvres. En effet, le marchand d’art a bien plutôt agi de son propre chef (PV aud. 2, p. 3, lignes 102-103). Dans ces conditions, un renvoi en jugement de l’un comme de l’autre des prévenus ne pourrait qu’aboutir à un acquittement. Il apparaît bien plutôt que le litige est de nature civile. c) Quant à la question de savoir si le droit d’être entendu du plaignant a été violé par le refus de la Procureure d’entendre les témoins dont l’audition était requise, il suffit de relever que les mesures d’instruction ne doivent porter que sur des faits pouvant s’avérer déterminants pour le sort de la cause. Or on ne voit pas en quoi le dessein dolosif que le plaignant impute aux intimés serait susceptible d’être étayé par des propos que ceux-ci auraient tenus à des tiers. Une fois encore, les éléments à prendre en compte, qui sont établis à satisfaction de droit, se limitent à la reconnaissance, par les prévenus, du droit de propriété du plaignant sur les œuvres d’art en question et à la mise à sa disposition de celles-ci en vue de leur restitution. Aucun témoignage n’est susceptible d’infirmer ces aveux, qui suffisent à exclure tout dessein dolosif de l’un comme de l’autre des prévenus.</w:t>
      </w:r>
    </w:p>
    <w:p>
      <w:r>
        <w:rPr>
          <w:b/>
        </w:rPr>
        <w:t>E. 4</w:t>
      </w:r>
    </w:p>
    <w:p>
      <w:r>
        <w:t>Il résulte de ce qui précède que le recours, manifestement mal fondé, doit être rejeté sans autres échanges d’écritures. Les frais de la procédure de recours, constitués de l’émolument d’arrêt (art. 422 al. 1 CPP), par 770 fr. (art. 20 al. 1 TFJP [tarif des frais judiciaires pénaux; RSV 312.03.1]), seront mis à la charge du recourant, qui succombe (art. 428 al. 1 CPP) . Par ces motifs, la Chambre des recours pénale, statuant à huis clos, prononce : I. Le recours est rejeté. II. L'ordonnance de classement du 7 mai 2013 est confirmée. III. Les frais du présent arrêt, par 770 fr. (sept cent septante francs), sont mis à la charge de E.________. IV. Le présent arrêt est exécutoire. Le président :               Le greffier : Du L'arrêt qui précède, dont la rédaction a été approuvée à huis clos, est notifié, par l'envoi d'une copie complète, à : - M. Paul Marville, avocat (pour E.________), - M. Marc Cheseaux, avocat (pour B.P.________), - M. José Carlos Coret, avocat (pour A.P.________),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