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588 vom 4. Juli 2013</w:t>
      </w:r>
    </w:p>
    <w:p>
      <w:r>
        <w:t>VD Tribunal cantonal, 2013-07-04, FR</w:t>
      </w:r>
    </w:p>
    <w:p>
      <w:r>
        <w:rPr>
          <w:b/>
        </w:rPr>
        <w:t xml:space="preserve">Quelle: </w:t>
      </w:r>
      <w:r>
        <w:t>https://mcp.opencaselaw.ch/entscheid/vd_findinfo_D_cision___2013___588</w:t>
      </w:r>
    </w:p>
    <w:p>
      <w:r>
        <w:t>FR: VD_FINDINFO Décision / 2013 / 588 du 4 juillet 2013</w:t>
      </w:r>
    </w:p>
    <w:p>
      <w:r>
        <w:t>IT: VD_FINDINFO Décision / 2013 / 588 del 4 luglio 2013</w:t>
      </w:r>
    </w:p>
    <w:p>
      <w:pPr>
        <w:pStyle w:val="Heading2"/>
      </w:pPr>
      <w:r>
        <w:t>Regeste</w:t>
      </w:r>
    </w:p>
    <w:p>
      <w:r>
        <w:t>DÉTENTION PRÉVENTIVE, RISQUE DE FUITE, RISQUE DE COLLUSION | 221 al. 1 let. a CPP (CH), 221 al. 1 let. b CPP (CH), 221 CPP (CH), 393 al. 1 let. c CPP (CH)</w:t>
      </w:r>
    </w:p>
    <w:p>
      <w:pPr>
        <w:pStyle w:val="Heading2"/>
      </w:pPr>
      <w:r>
        <w:t>Erwägungen</w:t>
      </w:r>
    </w:p>
    <w:p>
      <w:r>
        <w:rPr>
          <w:b/>
        </w:rPr>
        <w:t>E. 3</w:t>
      </w:r>
    </w:p>
    <w:p>
      <w:r>
        <w:t>La décision entreprise se fonde sur un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l’intéressé, né en [...], ne présente aucune attache sérieuse avec la Suisse, hormis sa double nationalité franco-suisse. Il a en effet expliqué ne pas avoir de domicile dans ce pays et loger chez sa sœur (PV aud. 1, ligne 208). Exceptée cette personne, aucun autre membre de sa famille n’habite en Suisse, ses parents et son amie, soit ses attaches affectives les plus fortes, se trouvant en France (PV aud. 1, ligne 223; PV aud. Tribunal des mesures de contrainte, ligne 27). Par ailleurs, il a déclaré ne pas avoir d’enfants ni d’emploi fixe, se contentant de rendre occasionnellement des services à un ami (PV aud. 1, ligne 230). Dans ces circonstances et au vu des charges qui pèsent contre lui – dont il ne mesurait sans doute pas l’ampleur il y a quelques mois –, il existe un risque concret que le recourant tente de se soustraire aux poursuites pénales en cas de libération. Contrairement à ce qu’il soutient, c’est bien plus par insouciance et méconnaissance des risques réels encourus qu’il est resté sur territoire helvétique jusqu’à son appréhension. Au surplus, aucune mesure de substitution n’est propre à écarter ce risque (art. 237 al. 3 CPP).</w:t>
      </w:r>
    </w:p>
    <w:p>
      <w:r>
        <w:rPr>
          <w:b/>
        </w:rPr>
        <w:t>E. 4</w:t>
      </w:r>
    </w:p>
    <w:p>
      <w:r>
        <w:t>Bien que les conditions légales de la détention provisoire soient alternatives, et non cumulatives, il convient d’examiner, par surabondance, si le risque de collusion retenu par le Tribunal des mesures de contrainte est avéré (art. 221 al. 1 let. a CPP). a)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Le risque de collusion doit être étayé par des faits concrets et précis; la simple possibilité théorique que le prévenu se livre à des manoeuvres destinées à compromettre la recherche de la vérité ne suffit pas (ATF 132 I 21 c. 3.2; Schmocker, op. cit., n. 16 ad art. 221 CPP). b) En l’occurrence, de nombreuses opérations d’enquête, également sur le plan international, doivent être accomplies. En particulier, une quantité importante de données doit encore être recueillie et examinée par un analyste en criminalité économique. Par ailleurs, même si les deux autres personnes concernées ont récemment été entendues (cf. recours p. 3), les auditions devront être poursuivies afin de déterminer précisément l’implication de chacun. Or, il est à craindre que le recourant, s’il devait être immédiatement libéré, ne compromette la recherche de la vérité en prenant contact avec ces personnes ou en faisant disparaître des données importantes. Au vu de ces éléments et en l’état de l’instruction, le risque de collusion est également patent.</w:t>
      </w:r>
    </w:p>
    <w:p>
      <w:r>
        <w:rPr>
          <w:b/>
        </w:rPr>
        <w:t>E. 5</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Le recourant a été appréhendé il y a quelques jours seulement, soit le 25 juin 2013. Au vu de la complexité de l’affaire et de son caractère international, la durée initiale de la détention provisoire fixée exceptionnellement à six mois n’apparaît pas disproportionnée, cela d’autant moins que le prévenu, en cas de condamnation, s’expose à une peine d’une durée bien plus importante. Certes, une prolongation de la détention de six mois doit rester une exception. En l’espèce, le caractère exceptionnel est réalisé pour les motifs évoqués ci-dessus et la décision n’apparaît pas critiquable sur ce point.</w:t>
      </w:r>
    </w:p>
    <w:p>
      <w:r>
        <w:rPr>
          <w:b/>
        </w:rPr>
        <w:t>E. 6</w:t>
      </w:r>
    </w:p>
    <w:p>
      <w:r>
        <w:t>Il résulte de ce qui précède que c’est à bon droit que le Tribunal des mesures de contrainte a estimé que les conditions d’une mise en détention provisoire du prévenu étaient réunies en l'état. Partant, le recours, manifestement mal fondé, doit être rejeté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450 fr., plus la TVA par 36 fr., soit 486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27 juin 2013 est confirmée. III. L'indemnité allouée au défenseur d'office du recourant est fixée à 486 fr. (quatre cent huitante-six francs). IV. Les frais du présent arrêt, par 770 fr. (sept cent septante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Véronique Fontana, avocate (pour L.________), - Ministère public central, et communiqué à : ‑ M. le Président du Tribunal des mesures de contrainte,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