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573 vom 14. Mai 2008</w:t>
      </w:r>
    </w:p>
    <w:p>
      <w:r>
        <w:t>VD Tribunal cantonal, 2008-05-14, FR</w:t>
      </w:r>
    </w:p>
    <w:p>
      <w:r>
        <w:rPr>
          <w:b/>
        </w:rPr>
        <w:t xml:space="preserve">Quelle: </w:t>
      </w:r>
      <w:r>
        <w:t>https://mcp.opencaselaw.ch/entscheid/vd_findinfo_D_cision___2013___573</w:t>
      </w:r>
    </w:p>
    <w:p>
      <w:r>
        <w:t>FR: VD_FINDINFO Décision / 2013 / 573 du 14 mai 2008</w:t>
      </w:r>
    </w:p>
    <w:p>
      <w:r>
        <w:t>IT: VD_FINDINFO Décision / 2013 / 573 del 14 maggio 2008</w:t>
      </w:r>
    </w:p>
    <w:p>
      <w:pPr>
        <w:pStyle w:val="Heading2"/>
      </w:pPr>
      <w:r>
        <w:t>Regeste</w:t>
      </w:r>
    </w:p>
    <w:p>
      <w:r>
        <w:t>LIBÉRATION CONDITIONNELLE, MESURE THÉRAPEUTIQUE INSTITUTIONNELLE, RISQUE DE RÉCIDIVE | 59 al. 3 CP, 59 CP, 62d al. 1 CP, 62d CP, 26 LEP, 38 LEP</w:t>
      </w:r>
    </w:p>
    <w:p>
      <w:pPr>
        <w:pStyle w:val="Heading2"/>
      </w:pPr>
      <w:r>
        <w:t>Erwägungen</w:t>
      </w:r>
    </w:p>
    <w:p>
      <w:r>
        <w:rPr>
          <w:b/>
        </w:rPr>
        <w:t>E. 1</w:t>
      </w:r>
    </w:p>
    <w:p>
      <w:r>
        <w:t>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qui satisfait aux conditions de forme posées par l’art. 385 al. 1 CPP.</w:t>
      </w:r>
    </w:p>
    <w:p>
      <w:r>
        <w:rPr>
          <w:b/>
        </w:rPr>
        <w:t>E. 2</w:t>
      </w:r>
    </w:p>
    <w:p>
      <w:r>
        <w:t>a) La recourante fait valoir qu’elle a commis un acte unique, considéré comme une tentative de meurtre, sur la personne de sa soeur, il y a plus de six ans, et qu’on pourrait dès lors se poser la question de savoir si le diagnostic de risque de récidive en matière d’acte hétéro-agressif posé à l’époque est toujours d’actualité. Si elle a effectivement eu de la peine à adhérer au traitement médicamenteux qui lui a été prescrit, ce serait parce que l’absorption par voie orale d’un neuroleptique ne lui conviendrait pas, alors qu’elle supporterait mieux sa médication telle qu’elle lui est administrée actuellement, à savoir par voie intraveineuse. En outre, en dépit des quelques mouvements oppositionnels que l’on a pu constater chez la recourante durant les six années qu’elle a passé derrière les barreaux, qui s’expliquerait par l’incompréhension suscitée par une incarcération chez une personne ayant le psychisme de la recourante, tous les observateurs se seraient plu à noter sa compliance. Selon la recourante, le risque de récidive paraît être exclu dès lors qu’elle a « fait la paix » avec sa soeur, d’une part, et qu’elle serait entourée, dès le moment où elle serait dehors, notamment par son amie Mme [...], qui pourrait en particulier veiller à ce qu’elle prenne régulièrement sa médication en cause. Ainsi, par sa durée, la mesure thérapeutique institutionnelle en cause serait manifestement disproportionnée au risque de récidive qui apparaîtrait inexistant. b)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Si l’auteur a commis une infraction prévue à l'art. 64 al. 1 CP, l'autorité compétente prend une décision sur la base d'une expertise indépendante, après avoir entendu une commission composée de représentants des autorités de poursuite pénale, des autorités d'exécution et des milieux de la psychiatrie (art. 62d al. 2 CP). L’autorité peut se fonder sur une expertise effectuée dans une phase antérieure de la procédure s’il y a lieu d’admettre que ses conclusions sont toujours valables. En effet, il n'y a pas lieu de procéder à la mise en œuvre d'une nouvelle expertise psychiatrique à chaque examen annuel de la libération conditionnelle (cf. Heer, in: Niggli/Wiprächtiger (éd.), Basler Kommentar, Strafrecht I, 2 e éd., Bâle 2007, n. 20 ad art. 62d CP, p. 1260, et les références citées). c)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 in dubio pro reo » n'est pas applicable (ATF 137 IV 201 c. 1.2 et la jurisprudence citée). Ce pronostic doit être posé en tenant compte du principe de la proportionnalité (art.</w:t>
      </w:r>
    </w:p>
    <w:p>
      <w:r>
        <w:rPr>
          <w:b/>
        </w:rPr>
        <w:t>E. 5</w:t>
      </w:r>
    </w:p>
    <w:p>
      <w:r>
        <w:t>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cette circonstance étant toutefois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(TF 6B_714/2009 du 19 novembre 2009 c. 1.2 et la référence citée). d)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(ATF 137 IV 201 c. 1.3 et les références citées). e) En l’espèce, il résulte clairement des pièces du dossier – à savoir non seulement du rapport d’expertise psychiatrique établi le 10 juillet 2007 dans le cadre de l’enquête ayant abouti au jugement du 14 mai 2008, mais également du nouveau rapport d’expertise psychiatrique indépendante établi le 22 décembre 2010, des rapports adressés les 27 septembre 2011 et 5 juin 2012 par le SMPP à la CIC et du courrier adressé le 18 octobre 2012 par le SMPP à l’OEP, dont il ressort que les conclusions de l’expertise indépendante du 22 décembre 2010 demeurent valables – que P.________ souffre d’un trouble psychiatrique sévère et chronique qui, sans traitement adéquat, est susceptible de l’amener à commettre des actes de violence mettant en péril la vie ou l’intégrité corporelle d’autrui. Contrairement à ce que tente de soutenir la recourante lorsqu’elle fait valoir n’avoir commis qu’un acte unique il y a plus de six ans, le risque de récidive demeure actuel et concret. Outre les rapports d’expertise et les divers courriers précités, il convient également de prendre en considération la perception, corroborée par les constatations des professionnels, des proches de la recourante qui se sont plaints d’être régulièrement inquiétés par téléphone « comme il y a 5 ans » (cf. P. 17, annexe). De plus, il ressort du rapport du SMPP du 17 décembre 2012 (P. 21, annexe) que l’intéressée avait arrêté sa médication neuroleptique à l’insu des médecins pendant environ cinq mois et qu’elle avait évolué défavorablement sur le plan clinique à cette période. Les tentatives de réintroduction de cette médication durant le séjour de l’intéressée à Belle-Idée ont par ailleurs été mises en échec par la patiente. L’argument de la recourante selon lequel elle avait arrêté sa médication parce qu’elle n’en supportait pas la prise orale n’est pas pertinent, dès lors qu’elle l’a fait à l’insu de ses médecins, démontrant ainsi qu’elle n’a pas pris conscience de la nécessité de se soigner. La recourante soutient aussi que le risque de récidive serait exclu en raison du fait qu’elle a «  fait la paix » avec sa sœur d’une part, et qu’elle serait entourée, dès sa sortie, notamment par une amie qui pourrait veiller à ce qu’elle prenne sa médication régulièrement. En l’occurrence, le risque de récidive ne dépend pas des relations qu’elle entretient avec sa sœur, d’autant plus que ses proches – dont sa sœur – ont été régulièrement inquiétés par ses agissements, au point qu’il faille prendre des mesures pour l’empêcher de les contacter. Au surplus, il n’apparaît en l’état pas suffisant que l’intéressée soit entourée par des amis pour qu’elle prenne son traitement médicamenteux et pour prévenir tout risque de récidive. En effet, seule l’acceptation par la recourante du diagnostic posé, de la chronicité du trouble et de la nécessité de prendre la médication à long terme semble être de nature à réduire le risque de récidive. L’intéressée a entamé une lente évolution favorable depuis son incarcération, grâce à l’encadrement et à la prise en charge thérapeutique dont elle bénéficie. Si les événements survenus en deuxième partie de l’année 2012 ne remettent pas en cause ce constat, ils démontrent toutefois sans ambiguïté que la condamnée n’a pas encore compris la nécessité de prendre sa médication avec régularité pour empêcher sa symptomatologie psychotique de reprendre le dessus. Il découle clairement des constatations des experts et des intervenants de la prise en charge de P.________ que celle-ci n’a pas encore atteint le stade où l’on peut considérer qu’elle a appris à vivre avec ses déficits et que le risque de réitération est suffisamment endigué. Au demeurant, la pathologie dont elle souffre commande de s’en tenir à un processus d’élargissement très progressif, dont chaque étape doit être scrupuleusement observée. La libération conditionnelle en est la phase ultime et son octroi à ce stade se révèlerait non seulement prématuré, mais contre-productif, comme l’a relevé à juste titre le premier juge. Pour le surplus, la mesure thérapeutique institutionnelle ordonnée à l’endroit de la condamnée conserve à ce jour toute sa pertinence, puisque la poursuite de l’évolution favorable amorcée est étroitement liée à la pérennité de la prise en charge thérapeutique actuelle, dont on peut attendre une amélioration de l'état de l'intéressé de manière à permettre, à terme, sa réinsertion dans la société. Enfin, sa durée n’apparaît pas disproportionnée au regard du risque de récidive que présenterait l’intéressée si elle était libérée sans préparation minutieuse. 3. Il résulte de ce qui précède que le recours, manifestement mal fondé, doit être rejeté sans autre échange d’écritures (art. 390 al. 2 CPP). Vu l’issue du recours, les frais de la procédure de recours, constitués en l’espèce de l’émolument d'arrêt (art. 422 al. 1 CPP), par 1'870 fr. (art. 20 al. 1 TFJP [tarif des frais judiciaires pénaux; RSV 312.03.1]) , et des frais imputables à la défense d’office (art. 422 al. 1 et 2 let. a CPP), fixés à 450 fr. plus la TVA par 36 fr., seront mis à la charge de la recourante, qui succombe (art. 428 al. 1 CPP). Le remboursement à l'Etat de cette indemnité sera exigible pour autant que la situation économique de la recourante se soit améliorée. Par ces motifs, la Chambre des recours pénale, statuant à huis clos, prononce : I. Le recours est rejeté. II. La décision du 13 juin 2013 est confirmée. III. L’indemnité allouée au défenseur d’office de P.________ est fixée à 486 fr. (quatre cent huitante-six francs), TVA comprise. IV. Les frais d’arrêt, par 1’870 fr. (mille huit cent septante francs), ainsi que l’indemnité due au défenseur d’office selon le chiffre III ci-dessus, sont mis à la charge de P.________. V. Le remboursement à l'Etat de l'indemnité allouée au chiffre III ci-dessus sera exigible pour autant que la situation économique de P.________ se soit améliorée. IV. Le présent arrêt est exécutoire. Le président :               La greffière : Du L'arrêt qui précède, dont la rédaction a été approuvée à huis clos, est notifié, par l'envoi d'une copie complète, à : - Me Jean-Pierre Bloch, avocat (pour P.________), - Ministère public central, et communiqué à : - Mme la Juge d’application des peines, - Ministère public de l’arrondissement de Lausanne, - Office d'exécution des peines (Réf: OEP/MES/62951/AVI/NJ), - Prison de la Tuilière,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