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56 vom 25. April 2012</w:t>
      </w:r>
    </w:p>
    <w:p>
      <w:r>
        <w:t>VD Tribunal cantonal, 2012-04-25, FR</w:t>
      </w:r>
    </w:p>
    <w:p>
      <w:r>
        <w:rPr>
          <w:b/>
        </w:rPr>
        <w:t xml:space="preserve">Quelle: </w:t>
      </w:r>
      <w:r>
        <w:t>https://mcp.opencaselaw.ch/entscheid/vd_findinfo_D_cision___2013___56</w:t>
      </w:r>
    </w:p>
    <w:p>
      <w:r>
        <w:t>FR: VD_FINDINFO Décision / 2013 / 56 du 25 avril 2012</w:t>
      </w:r>
    </w:p>
    <w:p>
      <w:r>
        <w:t>IT: VD_FINDINFO Décision / 2013 / 56 del 25 aprile 2012</w:t>
      </w:r>
    </w:p>
    <w:p>
      <w:pPr>
        <w:pStyle w:val="Heading2"/>
      </w:pPr>
      <w:r>
        <w:t>Regeste</w:t>
      </w:r>
    </w:p>
    <w:p>
      <w:r>
        <w:t>DÉTENTION PRÉVENTIVE, PROPORTIONNALITÉ, RISQUE DE RÉCIDIVE | 221 CPP (CH), 229 al. 1 CPP (CH)</w:t>
      </w:r>
    </w:p>
    <w:p>
      <w:pPr>
        <w:pStyle w:val="Heading2"/>
      </w:pPr>
      <w:r>
        <w:t>Erwägungen</w:t>
      </w:r>
    </w:p>
    <w:p>
      <w:r>
        <w:rPr>
          <w:b/>
        </w:rPr>
        <w:t>E. 1</w:t>
      </w:r>
    </w:p>
    <w:p>
      <w:r>
        <w:t>CPP), que le remboursement à l’Etat de l’indemnité allouée au défenseur d’office de K.________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K.________. IV. Dit que les frais d'arrêt, par 770 fr. (sept cent septante francs), ainsi que l'indemnité due au défenseur d'office de K.________, par 486 fr. (quatre cent huitante-six francs), sont mis à la charge de ce dernier. V. Dit que le remboursement à l'Etat de l'indemnité allouée au chiffre III ci-dessus sera exigible pour autant que la situation économique de K.________ se soit améliorée. VI. Déclare le présent arrêt exécutoire. Le vice-président : Le greffier : Du L'arrêt qui précède, dont la rédaction a été approuvée à huis clos, est notifié, par l'envoi d'une copie complète, à : - Mme Kathrin Gruber, avocate (pour K.________), - Ministère public central, et communiqué à : ‑ Mme la Présidente du Tribunal des mesures de contrainte, - M. le Procureur de l'arrondissement de Lausanne,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