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549 vom 17. April 2013</w:t>
      </w:r>
    </w:p>
    <w:p>
      <w:r>
        <w:t>VD Tribunal cantonal, 2013-04-17, FR</w:t>
      </w:r>
    </w:p>
    <w:p>
      <w:r>
        <w:rPr>
          <w:b/>
        </w:rPr>
        <w:t xml:space="preserve">Quelle: </w:t>
      </w:r>
      <w:r>
        <w:t>https://mcp.opencaselaw.ch/entscheid/vd_findinfo_D_cision___2013___549</w:t>
      </w:r>
    </w:p>
    <w:p>
      <w:r>
        <w:t>FR: VD_FINDINFO Décision / 2013 / 549 du 17 avril 2013</w:t>
      </w:r>
    </w:p>
    <w:p>
      <w:r>
        <w:t>IT: VD_FINDINFO Décision / 2013 / 549 del 17 aprile 2013</w:t>
      </w:r>
    </w:p>
    <w:p>
      <w:pPr>
        <w:pStyle w:val="Heading2"/>
      </w:pPr>
      <w:r>
        <w:t>Regeste</w:t>
      </w:r>
    </w:p>
    <w:p>
      <w:r>
        <w:t>ESCROQUERIE, CLASSEMENT DE LA PROCÉDURE, ASTUCE, TROMPERIE | 146 CP, 319 CPP (CH), 393 al. 1 let. a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qualité pour recourir (cf. art. 386 al. 1 CPP), le recours est recevable.</w:t>
      </w:r>
    </w:p>
    <w:p>
      <w:r>
        <w:rPr>
          <w:b/>
        </w:rPr>
        <w:t>E. 2</w:t>
      </w:r>
    </w:p>
    <w:p>
      <w:r>
        <w:t>Selon l'art. 319 al. 1 let. b CPP, le ministère public ordonne le classement de tout ou partie de la procédure lorsque les éléments constitutifs d'une infraction ne sont pas réunis.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Une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 (ATF 138 IV 86 c. 4.1.1; TF 1B_272/2011 du 22 mars 2012 c. 3.1.1), voire même lorsque les probabilités d'acquittement et de condamnation apparaissent équivalentes en présence d'une infraction grave (ATF 138 IV 86 c. 4.1.2 ; ATF 137 IV 285 c.</w:t>
      </w:r>
    </w:p>
    <w:p>
      <w:r>
        <w:rPr>
          <w:b/>
        </w:rPr>
        <w:t>E. 2.5</w:t>
      </w:r>
    </w:p>
    <w:p>
      <w:r>
        <w:t>p. 288). En effet, en cas de doute, ce n'est pas à l'autorité d'instruction ou d'accusation mais au juge matériellement compétent qu'il appartient de se prononcer. Au stade de la mise en accusation, le principe "in dubio pro reo", relatif à l'appréciation de preuves par l'autorité de jugement, ne s'applique donc pas. C'est au contraire la maxime "in dubio pro duriore" qui impose, en cas de doute, une mise en accusation. Ce principe vaut également pour l'autorité judiciaire chargée de l'examen d'une décision de classement (ATF 138 IV 86 c. 4.1.1; TF 1B_272/2011 du 22 mars 2012 c. 3.1.1; TF 6B_588/2007 du 11 avril 2008 c. 3.2.3, publié in Praxis 2008 n° 123).</w:t>
      </w:r>
    </w:p>
    <w:p>
      <w:r>
        <w:rPr>
          <w:b/>
        </w:rPr>
        <w:t>E. 3</w:t>
      </w:r>
    </w:p>
    <w:p>
      <w:r>
        <w:t>Le recourant fait grief au Procureur d’avoir insuffisamment pris en compte les éléments constitutifs de l’infraction d’escroquerie.</w:t>
      </w:r>
    </w:p>
    <w:p>
      <w:r>
        <w:rPr>
          <w:b/>
        </w:rPr>
        <w:t>E. 3.1</w:t>
      </w:r>
    </w:p>
    <w:p>
      <w:r>
        <w:t>Selon l’art. 146 CP (Code pénal suisse du 21 décembre 1937; RS 311.0),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Pour que l'infraction d'escroquerie soit réalisée, plusieurs conditions objectives doivent être remplies, à savoir une tromperie, une astuce, une induction en erreur, un acte de disposition, un dommage, ainsi qu'un lien de causalité entre les éléments qui précèdent. Sur le plan subjectif, l'escroquerie suppose une intention et un dessein d'enrichissement illégitime pour soi-même ou pour un tiers (Dupuis et al., Petit commentaire, Code pénal, Bâle 2012, n. 1 ad art. 146 CP). La tromperie peut être effectuée sous la forme d’affirmations fallacieuses, d’une dissimulation de faits, ou encore par le fait de conforter autrui dans son erreur. Pour qu’il y ait tromperie par affirmations fallacieuses, il faut que l’auteur ait affirmé un fait dont il connaissait la fausseté. La dissimulation de faits vrais n’est parfois qu’un cas particulier d’affirmations fallacieuses. Elle prend alors la forme d’un comportement actif qui tend à dissimuler un fait. Cela suppose que l’auteur affirme fallacieusement une contrevérité. Le simple fait de se taire suffit pour que l’on retienne la tromperie, si l’auteur occupe une position de garant, c’est-à-dire s’il a, en vertu de la loi, d’un contrat ou d’un rapport de confiance spécial une obligation de renseigner ou de détromper la dupe. Par ailleurs, il ne suffit plus d’exploiter l’erreur d’autrui, il faut encore conforter astucieusement la dupe dans l’erreur (Dupuis et al., op. cit., n. 5 ss ad art. 146 CPP et les références citées). La tromperie n’est pénalement répréhensible que si l’auteur agit avec un certain raffinement ou une rouerie particulière. Ce qui est important, c’est de savoir si la tromperie paraît imperceptible ou difficilement perceptible en tenant compte des possibilités d’autoprotection de la dupe dont l’auteur a connaissance (ATF 135 IV 76 c. 5.2 et les références citées). En particulier, le Tribunal fédéral retient que l'astuce n'est pas réalisée si la victime pouvait se protéger avec un minimum d'attention ou éviter l'erreur avec le minimum de prudence que l'on pouvait attendre d'elle. La question n'est pas de savoir si elle a fait tout ce qu'elle pouvait pour éviter d'être trompée. L'astuce n'est exclue que lorsque la dupe est coresponsable du dommage parce qu'elle n'a pas observé les mesures de prudence élémentaires (ATF 128 IV 18 c. 3a; TF 6B_243/2009 du 26 mai 2009 c. 2.2.2).</w:t>
      </w:r>
    </w:p>
    <w:p>
      <w:r>
        <w:rPr>
          <w:b/>
        </w:rPr>
        <w:t>E. 3.2</w:t>
      </w:r>
    </w:p>
    <w:p>
      <w:r>
        <w:t>En l’espèce, le recourant reproche à la prévenue de l’avoir laissé croire qu’il faisait un investissement raisonnable, en s’abstenant de lui dire que son associé n’avait pas les compétences et les titres requis pour diriger un établissement scolaire. Cette omission serait ainsi à l’origine de son dommage financier. A cet égard, la cour relève que même si les agissements de la prévenue sont à première vue critiquables et qu’elle a vraisemblablement contribué à tromper celui-ci sur les qualités de son associé ainsi que sur la situation de l’école, la négligence fautive du recourant apparaît néanmoins prédominante. En effet, celui-ci est un homme d’affaires, actif notamment dans le domaine immobilier. Malgré son expérience, il a pris un risque important en conférant les pleins pouvoirs à son associé, sans procéder au préalable aux vérifications élémentaires relatives aux compétences de ce dernier et aux conditions d’exploitation d’un établissement scolaire. Il a en outre accepté, avec une grande légèreté, de se prêter au jeu des « dessous de table », sans avoir la moindre garantie quant à la viabilité de l’école et à la manière dont son importante mise de fond allait être utilisée. Dans ces circonstances, force est de constater que les conditions strictes pour admettre la tromperie astucieuse ne sont pas réalisées. Au surplus, il y a lieu de rappeler qu’il n’existait aucun rapport contractuel entre la prévenue et le plaignant, et ce bien que celui-ci ait apporté l’argent nécessaire au rachat de l’école. Le contrat de vente a en effet été conclu exclusivement entre L.________ d’une part et C.________ et l’E.________ d’autre part. Ainsi, même si l’intimée était au courant des faits invoqués par le recourant et qu’elle les a tus, il n’existait aucun rapport de droit permettant de fonder un devoir de garant à son égard. Or, le simple fait de taire un fait ne constitue une tromperie que si son auteur occupait une telle position (cf. supra c. 3.1). Au surplus, aucun élément au dossier n’indique que la prévenue aurait adopté un comportement actif, par lequel elle aurait affirmé un fait dont elle connaissait la fausseté ou conforté astucieusement le plaignant dans son erreur. Compte tenu de ce qui précède, les éléments constitutifs de l’infraction d’escroquerie ne sont pas réunis et c’est à bon droit que le Procureur a classé la procédure pénale sur ce point. Pour le surplus, le recourant n’a pas remis en cause le classement portant sur les autres chefs d’accusation mentionnés dans l’ordonnance attaquée, qui échappe à toute critique.</w:t>
      </w:r>
    </w:p>
    <w:p>
      <w:r>
        <w:rPr>
          <w:b/>
        </w:rPr>
        <w:t>E. 4</w:t>
      </w:r>
    </w:p>
    <w:p>
      <w:r>
        <w:t>En définitive, le recours, mal fondé, doit être rejeté et l’ordonnance entreprise confirmée. Les frais de la procédure de recours, par 990 fr. (art. 20 al. 1 TFJP [Tarif des frais judiciaires pénaux du 28 septembre 2010, RSV 312.03.1]), seront mis à la charge du recourant, qui succombe (art. 428 al. 1 CPP). Par ces motifs, la Chambre des recours pénale, statuant à huis clos, prononce : I. Le recours est rejeté. II. L’ordonnance du 26 février 2013 est confirmée. III. Les frais de la procédure de recours, par 990 fr. (neuf cent nonante francs), sont mis à la charge de Z.________. IV. Le présent arrêt est exécutoire. Le vice-président : La greffière : Du L'arrêt qui précède, dont la rédaction a été approuvée à huis clos, est notifié, par l'envoi d'une copie complète, à : - Me Razi Abderrahim, avocat (pour Z.________), - Mes Daniel Pache et John-David Burdet, avocats (pour L.________),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