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541 vom 3. Juni 2013</w:t>
      </w:r>
    </w:p>
    <w:p>
      <w:r>
        <w:t>VD Tribunal cantonal, 2013-06-03, FR</w:t>
      </w:r>
    </w:p>
    <w:p>
      <w:r>
        <w:rPr>
          <w:b/>
        </w:rPr>
        <w:t xml:space="preserve">Quelle: </w:t>
      </w:r>
      <w:r>
        <w:t>https://mcp.opencaselaw.ch/entscheid/vd_findinfo_D_cision___2013___541</w:t>
      </w:r>
    </w:p>
    <w:p>
      <w:r>
        <w:t>FR: VD_FINDINFO Décision / 2013 / 541 du 3 juin 2013</w:t>
      </w:r>
    </w:p>
    <w:p>
      <w:r>
        <w:t>IT: VD_FINDINFO Décision / 2013 / 541 del 3 giugno 2013</w:t>
      </w:r>
    </w:p>
    <w:p>
      <w:pPr>
        <w:pStyle w:val="Heading2"/>
      </w:pPr>
      <w:r>
        <w:t>Regeste</w:t>
      </w:r>
    </w:p>
    <w:p>
      <w:r>
        <w:t>ASSISTANCE JUDICIAIRE | 132 CPP (CH)</w:t>
      </w:r>
    </w:p>
    <w:p>
      <w:pPr>
        <w:pStyle w:val="Heading2"/>
      </w:pPr>
      <w:r>
        <w:t>Erwägungen</w:t>
      </w:r>
    </w:p>
    <w:p>
      <w:r>
        <w:rPr>
          <w:b/>
        </w:rPr>
        <w:t>E. 1</w:t>
      </w:r>
    </w:p>
    <w:p>
      <w:r>
        <w:t>a) Aux termes de l’art. 393 al. 1 let. a CPP, le recours est recevable contre les décisions et actes de procédure du Ministère public. Une décision du Ministère public refusant d’ordonner une défense d’office (art. 132 CPP) est ainsi susceptible de recours selon les art. 393 ss CPP (Ruckstuhl, in: Niggli/Heer/Wiprächtiger [éd.], Basler Kommentar, Schweizerische Strafprozessordnung, Jugendstrafprozessordnung, Bâle 2011, n. 32 ad art. 132 CPP; Harari/Aliberti, in: Kuhn/Jeanneret [éd.], Commentaire romand, Code de procédure pénale suisse, Bâle 2011, n. 11 ad art. 132 CPP). Ce recours s’exerce auprès de l’autorité de recours (cf. art. 20 al. 1 let. b CPP), qui dans le canton de Vaud est la Chambre des recours pénale du Tribunal cantonal (art. 13 LVCPP, RSV 312.01; art. 80 LOJV,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w:t>
      </w:r>
    </w:p>
    <w:p>
      <w:r>
        <w:rPr>
          <w:b/>
        </w:rPr>
        <w:t>E. 2</w:t>
      </w:r>
    </w:p>
    <w:p>
      <w:r>
        <w:t>a) Selon l’art. 132 al. 1 CPP, la direction de la procédure ordonne une défense d’office dans les deux hypothèses suivantes: (a) en cas de défense obligatoire au sens de l'art. 130 CPP, si le prévenu, malgré l’invitation de la direction de la procédure, ne désigne pas de défenseur privé, ou si le mandat est retiré au défenseur privé ou que celui-ci a décliné le mandat et que le prévenu n’a pas désigné un nouveau défenseur dans le délai imparti; (b)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La peine dont le prévenu est «passible» (cf. art. 132 al. 3 CPP), ou qu’il «encourt» (cf. art. 130 let. b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op. cit., n. 18 ad art. 130 CPP). b) Selon la systématique de l'art. 132 CPP, la défense d'office doit ainsi être ordonnée non seulement en cas de défense obligatoire au sens de l'art. 130 CPP si les conditions de l'art. 132 al. 1 let. a CPP sont réalisées, mais aussi hors des cas de défense obligatoire, aux conditions de l'art. 132 al. 1 let. b CPP; en d'autres termes, un défenseur d'office peut être désigné également dans les cas de défense facultative (TF 1B_477/2011 du 4 janvier 2012 c. 2.2; cf. TF 1B_195/2011 du 28 juin 2011 c. 3.1 non publié aux ATF 137 IV 215). Pour qu'une défense d'office soit ordonnée dans un cas de défense facultative, il faut que les conditions posées par l'art. 132 al. 1 let. b CPP – et précisées par l'art. 132 al. 2 et 3 CPP – soient réunies; ces conditions reprennent largement la jurisprudence du Tribunal fédéral en matière d'assistance judiciaire (TF 1B_477/2011 du 4 janvier 2012 c. 2.2). Selon cette jurisprudence, rendue sur la base des art. 29 al. 3 Cst. et 6 par. 3 let. c CEDH,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 cette condition étant cumulative, comme cela ressort désormais de l’art. 132 al. 2 CPP (Harari/Aliberti, op. cit., n. 61 ad art. 132 CPP; TF 1B_359/2010 du 13 décembre 2010 c. 3.2) – des difficultés particulières du point de vue de l'établissement des faits ou des questions juridiques soulevées qu'il ne serait pas en mesure de résoudre seul (ATF 128 I 225 c. 2.5.2; ATF 120 Ia 43 c. 2a p. 44 et les références citées; TF 1B_477/2011 du 4 janvier 2012 c. 2.2). Si les deux conditions mentionnées à l'art. 132 al. 2 CPP doivent être réunies cumulativement, il n'est pas exclu que l'intervention d'un défenseur soit justifiée par d'autres motifs, comme l'indique l'adverbe «notamment». La doctrine mentionne en particulier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(cf. TF 1B_477/2011 du 4 janvier 2012 c. 2.2; Harari/Aliberti, op. cit., n. 64 ad art. 132; Lieber, in: Donatsch/Hansjakob/Lieber [éd.], Kommentar zur Schweizerischen Strafprozessordnung, Zurich/Bâle/Genève 2010, n. 16 ad art. 132; Ruckstuhl, op. cit., n. 36 ad art. 132). Selon la jurisprudence du Tribunal fédéral, le point décisif est toujours de savoir si la désignation d'un avocat d'office est objectivement nécessaire dans le cas d'espèce; 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 2.5.2; ATF 123 I 145 c. 2b/cc; ATF 122 I 49 c. 2c/bb; ATF 122 I 275 c. 3a et les arrêts cités; TF 1B_359/2010 du 13 décembre 2010 c. 3.2; TF 1B_195/2011 du 28 juin 2011 c. 3.2). 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c) En l’espèce, il ne s’agit pas d’un cas de défense obligatoire, mais d’un cas de défense facultative, de sorte que la défense d'office ne doit être ordonnée que si les conditions de l'art. 132 al. 1 let. b CPP sont réalisées. Il est vrai qu'en l'état le recourant n'est poursuivi que pour calomnie, injure, menaces et tentative de contrainte, de sorte que l’affaire paraît être de peu de gravité au sens de l’art. 132 al. 2 et 3 CPP. Cela étant, le recourant a été condamné le 28 septembre 2010 par le Tribunal correctionnel de la Broye et du Nord vaudois à une peine privative de liberté de dix-huit mois, sous déduction de 183 jours de détention avant jugement, dont dix mois avec sursis pendant cinq ans, peine assortie d’une assistance de probation et d’un traitement ambulatoire, pour dommages à la propriété, violation de domicile, incendie intentionnel (délit manqué) et opposition aux actes de l’autorité. Il a également été condamné le 27 septembre 2012 par le Tribunal criminel de Neuchâtel à une peine privative de liberté de cinq ans, sous déduction de 578 jours de détention avant jugement, pour complicité de meurtre. Le sursis octroyé le 28 septembre 2010 a été révoqué. Le recourant a en outre fait l’objet de onze condamnations en France (cf. P. 12, p. 27). Les lourds antécédents du prévenu sont ainsi susceptibles d'avoir une incidence conséquente sur la fixation de la peine en cas de condamnation. T.________ pourrait donc se voir infliger une peine égale voire supérieure à celles prévues à l’art. 132 al. 2 CPP, si bien que l’affaire n’est pas de peu de gravité. En outre, dans le cadre de l’affaire neuchâteloise, le recourant a été soumis à une expertise psychiatrique qui a révélé la présence de troubles importants qualifiés de «troubles de la personnalité mixte à traits antisociaux et impulsifs de sévérité moyenne» (P. 12, p. 28). Le Tribunal correctionnel de la Broye et du Nord vaudois avait d’ailleurs ordonné un traitement ambulatoire au sens de l’art. 63 CP. On peut en conclure que l’état psychique du recourant ne lui permette pas de surmonter seul les difficultés de l’affaire. De plus, le fait que T.________ soit détenu justifie également qu’un défenseur d’office lui soit nommé (cf. TF 1B_477/2011 précité), quand bien même les plaignants, eux aussi détenus aux EPO, ne sont pas assistés. Enfin, l’indigence du recourant est patente. Par conséquent, les conditions permettant de désigner un défenseur d'office sont réunies, à tout le moins celles qui concernent les cas de défense facultative (art. 132 al. 1 let. b CPP).</w:t>
      </w:r>
    </w:p>
    <w:p>
      <w:r>
        <w:rPr>
          <w:b/>
        </w:rPr>
        <w:t>E. 3</w:t>
      </w:r>
    </w:p>
    <w:p>
      <w:r>
        <w:t>En définitive, le recours doit être admis et l’ordonnance attaquée réformée en ce sens qu’un défenseur d’office sera désigné au recourant par le Procureur de l'arrondissement du Nord vaudois. Les frais de procédure, constitués du seul émolument d’arrêt, par 770 fr. (art. 20 al. 1 TFJP [Tarif des frais judiciaires pénaux du 28 septembre 2010; RSV 312.03.1]), seront laissés à la charge de l’Etat (art. 428 al. 1 CPP). Par ces motifs, la Chambre des recours pénale, statuant à huis clos, prononce : I. Le recours est admis. II. L’ordonnance attaquée est réformée en ce sens qu’un défenseur d’office sera désigné à T.________ par le Procureur de l'arrondissement du Nord vaudois. III. Les frais de la procédure de recours, par 770 fr. (sept cent septante francs), sont laissés à la charge de l’Etat. IV. Le présent arrêt est exécutoire. Le président :               La greffière : Du L'arrêt qui précède, dont la rédaction a été approuvée à huis clos, est notifié, par l'envoi d'une copie complète, à : - M. T.________, - M. W.________, - M. I.________,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