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535 vom 6. März 2013</w:t>
      </w:r>
    </w:p>
    <w:p>
      <w:r>
        <w:t>VD Tribunal cantonal, 2013-03-06, FR</w:t>
      </w:r>
    </w:p>
    <w:p>
      <w:r>
        <w:rPr>
          <w:b/>
        </w:rPr>
        <w:t xml:space="preserve">Quelle: </w:t>
      </w:r>
      <w:r>
        <w:t>https://mcp.opencaselaw.ch/entscheid/vd_findinfo_D_cision___2013___535</w:t>
      </w:r>
    </w:p>
    <w:p>
      <w:r>
        <w:t>FR: VD_FINDINFO Décision / 2013 / 535 du 6 mars 2013</w:t>
      </w:r>
    </w:p>
    <w:p>
      <w:r>
        <w:t>IT: VD_FINDINFO Décision / 2013 / 535 del 6 marzo 2013</w:t>
      </w:r>
    </w:p>
    <w:p>
      <w:pPr>
        <w:pStyle w:val="Heading2"/>
      </w:pPr>
      <w:r>
        <w:t>Regeste</w:t>
      </w:r>
    </w:p>
    <w:p>
      <w:r>
        <w:t>ESCROQUERIE, CLASSEMENT DE LA PROCÉDURE | 146 CP, 310 CPP (CH), 393 al. 1 let. a CPP (CH)</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dans la mesure où elle est lésée, le recours est recevable dans cette mesure (cf. c. 3c infra).</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w:t>
      </w:r>
    </w:p>
    <w:p>
      <w:r>
        <w:rPr>
          <w:b/>
        </w:rPr>
        <w:t>E. 3</w:t>
      </w:r>
    </w:p>
    <w:p>
      <w:r>
        <w:t>a)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sens de l'art. 146 CP suppose en particulier que l'auteur ait usé de tromperie et que celle-ci ait été astucieuse (ATF 128 IV 18 c. 3a; ATF 122 II 422 c. 3a; ATF 122 IV 246 c. 3a et les arrêts cités).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b) En l’espèce, il est vrai que les agissements de M.________, de la manière dont ils sont décrits par la recourante, paraissent à première vue incorrects. Toutefois, le fait pour le prénommé d’avoir signé, le 12 novembre 2010, une attestation de non-détention d’autres avoirs ne constitue pas une astuce au sens de la disposition précitée. En effet, comme le relève le Ministère public, ce document est une simple déclaration mensongère sans valeur de titre. De plus, les éléments au dossier ne permettent pas d’établir que la recourante aurait été astucieusement dissuadée ou empêchée d’une façon ou d’une autre par son ex-époux de requérir, dans le cadre de la procédure de divorce, production des pièces qu’elle a finalement versées au dossier à l’appui de sa plainte, pour ensuite les communiquer au notaire. Le litige entre les parties est donc de nature exclusivement civile. Comme le mentionne le procureur, la recourante avait à sa disposition la voie de la révision civile. La voie pénale ne saurait servir de substitut à cette dernière et l’ordonnance de non-entrée en matière échappe à la critique sur ce point. c) Par ailleurs, la recourante n’est pas lésée et n’a donc pas la qualité pour recourir en tant que partie plaignante s’agissant des autres infractions qu’elle dénonce, notamment en relation avec l’obtention de l’assistance judiciaire dans le cadre de la procédure de divorce, sur la base de déclarations prétendument mensongères du bénéficiaire. C’est à l’autorité autrefois compétente, soit au Bureau de l’assistance judiciaire, qu’il eût appartenu, le cas échéant, de prendre les mesures qui s’imposaient s’il estimait que les intérêts de l’Etat étaient lésés, en particulier en dénonçant l’intéressé au préfet, qui aurait pu lui infliger une amende de 500 fr. au plus (cf. art. 12 aLAJ [Loi sur l’assistance judiciaire en matière civile du 24 novembre 1981, abrogée]) ou en lui retirant le bénéfice de l’assistance judiciaire (cf. art. 13 aLAJ).</w:t>
      </w:r>
    </w:p>
    <w:p>
      <w:r>
        <w:rPr>
          <w:b/>
        </w:rPr>
        <w:t>E. 4</w:t>
      </w:r>
    </w:p>
    <w:p>
      <w:r>
        <w:t>Il résulte de ce qui précède que le recours, manifestement mal fondé, doit être rejeté sans autres échanges d’écritures (art. 390 al. 2 CPP), dans la mesure où il est recevable (cf. c. 3c supra).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dans la mesure où il est recevable. II. L’ordonnance attaquée est confirmée. III. Les frais d’arrêt, par 550 fr. (cinq cent cinquante francs), sont mis à la charge de D.________. IV. Le présent arrêt est exécutoire. Le vice-président : La greffière : Du L'arrêt qui précède, dont la rédaction a été approuvée à huis clos, est notifié, par l'envoi d'une copie complète, à : - M. Philippe Mercier, avocat (pour D.________), - Ministère public central; et communiqué à : ‑ M. le Procureur ad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