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532 vom 17. Juni 2013</w:t>
      </w:r>
    </w:p>
    <w:p>
      <w:r>
        <w:t>VD Tribunal cantonal, 2013-06-17, FR</w:t>
      </w:r>
    </w:p>
    <w:p>
      <w:r>
        <w:rPr>
          <w:b/>
        </w:rPr>
        <w:t xml:space="preserve">Quelle: </w:t>
      </w:r>
      <w:r>
        <w:t>https://mcp.opencaselaw.ch/entscheid/vd_findinfo_D_cision___2013___532</w:t>
      </w:r>
    </w:p>
    <w:p>
      <w:r>
        <w:t>FR: VD_FINDINFO Décision / 2013 / 532 du 17 juin 2013</w:t>
      </w:r>
    </w:p>
    <w:p>
      <w:r>
        <w:t>IT: VD_FINDINFO Décision / 2013 / 532 del 17 giugno 2013</w:t>
      </w:r>
    </w:p>
    <w:p>
      <w:pPr>
        <w:pStyle w:val="Heading2"/>
      </w:pPr>
      <w:r>
        <w:t>Regeste</w:t>
      </w:r>
    </w:p>
    <w:p>
      <w:r>
        <w:t>ORDONNANCE DE SÉQUESTRE, SÉQUESTRE{MESURE PROVISIONNELLE}, OBJET SÉQUESTRÉ, OPPOSITION{PROCÉDURE} | 69 CP, 263 al. 1 let. d CPP (CH)</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ordonnance de séquestre rendue par le ministère public (art. 263 CPP) est ainsi susceptible de recours selon les art. 393 ss CPP (Bommer/ 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En effet, le prévenu T.________ a qualité pour recourir (art. 382 al. 1 CPP) contre le séquestre du véhicule […].</w:t>
      </w:r>
    </w:p>
    <w:p>
      <w:r>
        <w:rPr>
          <w:b/>
        </w:rPr>
        <w:t>E. 2</w:t>
      </w:r>
    </w:p>
    <w:p>
      <w:r>
        <w:t>a) Le recourant tente de démontrer que le véhicule […] ne pouvait pas faire l’objet d’un séquestre conservatoire au sens de l’art. 263 al. 1 let. d CPP, soutenant que les conditions d’une confiscation au sens de l’art. 69 CP ne seraient pas rendues vraisemblables.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Kuhn/Jeanneret (éd.), Commentaire romand, Code de procédure pénale suisse, Bâle 2011, n. 17 ad art. 263 CPP ; Bommer/ Goldschmid, in: Niggli/Heer/Wiprächtiger (éd.), op. cit., nn 11 à 15 ante art. 263-268 CPP). Pour que le séquestre soit conforme au principe de proportionnalité (cf. art. 197 al. 1 let. c et d CPP et art. 36 al. 3 Cst.), il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Bommer/Goldschmid, op. cit., n. 23 ad art. 263 CPP). L’ordonnance attaquée se fonde sur l'art. 263 al. 1 let. d CPP, au terme duquel des objets et des valeurs patrimoniales appartenant au prévenu ou à des tiers peuvent être mis sous séquestre, lorsqu'il est probable qu'ils devront être confisqués. Il s’agit du séquestre dit conservatoire, qui suppose que l’on puisse admettre prima facie avec une certaine probabilité que les objets et valeurs patrimoniales en question seront confisqués en application du droit fédéral (Lembo/Julen Berthod, op.cit., n, 7 et 27 ad art. 263 CPP ; cf. TF 1P.31/2000 du 14 février 2000 c. 2b). Il doit en outre exister un rapport de connexité entre l'objet séquestré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 CREP 4 août 2011/292) Selon l'art. 69 al. 1 CP,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c) En l’espèce, T.________ et ses comparses, ressortissants roumains résidant en […], sont venus en Suisse pour commettre des vols. Ils se déplaçaient à bord d’une […] (dans laquelle ils ont été interpellés) et d’une […] (PV aud. 11, R.5 ; PV aud. 12, R.8). Ils étaient de ce fait très mobiles dans leurs déplacements, ce qui leur a permis de commettre un grand nombre d’infractions sur des territoires différents et dans laps de temps très court. Il n’est dès lors pas contestable que le véhicule séquestré a bien servi à commettre des infractions. d) Il ne suffit cependant pas qu'un objet ait servi à commettre un crime ou un délit pour en justifier la confiscation; encore faut-il qu'il compromette la sécurité des personnes, la morale ou l'ordre public (ATF 116 IV 117 c. 2a). Le danger créé ou révélé par l'infraction doit ainsi subsister; il peut être inhérent à l'objet lui-même ou ressortir de l'usage que son détenteur est susceptible d'en faire. On ne saurait émettre des exigences élevées en ce qui concerne ce danger; il suffit qu’il soit vraisemblable qu’il y ait un danger si l’objet n’est pas confisqué en mains de l’ayant droit (ATF 127 IV 203 c. 7b; ATF 124 IV 121 c. 2a et c; ATF 117 IV 345 c. 2a; ATF 116 IV 117 c. 2a et les arrêts cités). Tel est notamment le cas lorsque l'objet a été acquis spécialement pour commettre des infractions (ATF 114 IV 98), lorsqu'il a été utilisé à plusieurs reprises à des fins délictueuses (cf. ATF 81 IV 217; Hans Schultz, Einziehung und Verfall, RJB 114/1978 p. 320) ou encore lorsqu'il ne peut être utilisé autrement que d'une manière dangereuse (ATF 116 IV 117 c. 2a; TF 1P.31/2000 du 14 février 2000 c. 2b). e) En l’espèce, il est prouvé que le véhicule litigieux a été utilisé pour dissimuler de l’argent, soit le montant de 60'000 fr. retrouvé par les enquêteurs dans l’un des appuie-tête. On rappellera encore que des cas de vol à l’astuce, commis à une fréquence très élevée par les prévenus, ont été recensés dans plusieurs cantons de Suisse, ce qui démontre une fois de plus l’indispensabilité de leur moyen de transport, celui-ci leur apportant une totale mobilité tant avant qu’après la commission des infractions, soit notamment pour se rendre sur les lieux puis pour prendre la fuite sitôt leur méfait commis. Le recourant et ses comparses admettent en outre qu’il leur arrivait également de dormir dans ces véhicules (PV aud. 2, R.5 ; PV aud. 11, R.6). Vu ce qui précède, il ne fait aucun doute que la […] litigieuse constituait un véritable « instrument de travail » pour le recourant. Il subsiste dès lors le danger que s’il n’était pas confisqué, le véhicule saisi soit utilisé pour la reprise de l’activité délictueuse. Par conséquent, l’ordonnance attaquée échappe à la critique en tant qu’elle ordonne le séquestre du véhicule litigieux sur la base de l’art. 263 al. 2 let. d CPP. f) S’agissant du principe de la proportionnalité, le recourant soutient que le séquestre de son véhicule ne serait pas nécessaire, précisant qu’il a à disposition le véhicule […] et que la privation du véhicule litigieux ne serait dès lors pas un obstacle s’il devait revenir en Suisse pour commettre des vols. La Chambre des recours pénale ne peut suivre le recourant sur ce point, tant il est vrai que le fait que le recourant dispose, par hypothèse, d’un autre moyen de transport, ne justifie pas qu’on lui en remette un supplémentaire à disposition en lui restituant celui ayant servi à commettre sa précédente infraction. Cela étant, il n’y a pas lieu d’examiner si le séquestre du véhicule se justifierait également sur la base de l’art. 263 al. 2 let. a CPP, relatif au séquestre dit probatoire.</w:t>
      </w:r>
    </w:p>
    <w:p>
      <w:r>
        <w:rPr>
          <w:b/>
        </w:rPr>
        <w:t>E. 4</w:t>
      </w:r>
    </w:p>
    <w:p>
      <w:r>
        <w:t>Il résulte de ce qui précède que le recours, manifestement mal fondé, doit être rejeté sans autres échanges d’écritures (art. 390 al. 2 CPP). Les frais de la procédure, constitués en l’espèce de l’émolument d’arrêt par 660 fr. (art. 20 al. 1 TFJP [tarif des frais judiciaires pénaux ;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T.________ est fixée à 486 fr. (quatre cent huitante-six francs), TVA comprise. IV. Les frais du présent arrêt, par 660 fr. (six cent soixante francs), ainsi que l’indemnité due au défenseur d’office de T.________, par 486 fr. (quatre cent huitante-six francs), sont mis à la charge de ce dernier. V. Le remboursement à l’Etat de l’indemnité allouée au chiffre III ci-dessus sera exigible pour autant que la situation économique de T.________ se soit améliorée. VI. Le présent arrêt est exécutoire. Le président :               La greffière : Du L'arrêt qui précède, dont la rédaction a été approuvée à huis clos, est notifié, par l'envoi d'une copie complète, à : - Mme Véronique Fontana, avocate (pour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